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05" w:rsidRPr="00A6323E" w:rsidRDefault="00E97C05" w:rsidP="00A6323E">
      <w:pPr>
        <w:ind w:firstLine="0"/>
        <w:jc w:val="left"/>
        <w:rPr>
          <w:rFonts w:ascii="Times New Roman" w:hAnsi="Times New Roman" w:cs="Times New Roman"/>
          <w:b/>
          <w:bCs/>
          <w:sz w:val="28"/>
          <w:szCs w:val="28"/>
        </w:rPr>
      </w:pPr>
      <w:bookmarkStart w:id="0" w:name="_GoBack"/>
      <w:bookmarkEnd w:id="0"/>
      <w:r w:rsidRPr="00A6323E">
        <w:rPr>
          <w:rFonts w:ascii="Times New Roman" w:hAnsi="Times New Roman" w:cs="Times New Roman"/>
          <w:b/>
          <w:bCs/>
          <w:sz w:val="28"/>
          <w:szCs w:val="28"/>
        </w:rPr>
        <w:t>Programový rámec Integrovaný regionální operační program</w:t>
      </w:r>
    </w:p>
    <w:p w:rsidR="00E97C05" w:rsidRPr="00A6323E" w:rsidRDefault="00E97C05" w:rsidP="00A6323E">
      <w:pPr>
        <w:ind w:firstLine="0"/>
        <w:rPr>
          <w:rFonts w:ascii="Times New Roman" w:hAnsi="Times New Roman" w:cs="Times New Roman"/>
        </w:rPr>
      </w:pPr>
      <w:r w:rsidRPr="00A6323E">
        <w:rPr>
          <w:rFonts w:ascii="Times New Roman" w:hAnsi="Times New Roman" w:cs="Times New Roman"/>
        </w:rPr>
        <w:t>Celková alo</w:t>
      </w:r>
      <w:r w:rsidR="00441B99">
        <w:rPr>
          <w:rFonts w:ascii="Times New Roman" w:hAnsi="Times New Roman" w:cs="Times New Roman"/>
        </w:rPr>
        <w:t>kace pro MAS na projekty: 28 447</w:t>
      </w:r>
      <w:r w:rsidRPr="00A6323E">
        <w:rPr>
          <w:rFonts w:ascii="Times New Roman" w:hAnsi="Times New Roman" w:cs="Times New Roman"/>
        </w:rPr>
        <w:t xml:space="preserve"> 000,- Kč</w:t>
      </w:r>
    </w:p>
    <w:p w:rsidR="00A6323E" w:rsidRDefault="00B42DAF" w:rsidP="00A6323E">
      <w:pPr>
        <w:ind w:firstLine="0"/>
        <w:rPr>
          <w:rFonts w:ascii="Times New Roman" w:hAnsi="Times New Roman" w:cs="Times New Roman"/>
        </w:rPr>
      </w:pPr>
      <w:r>
        <w:rPr>
          <w:rFonts w:ascii="Times New Roman" w:hAnsi="Times New Roman" w:cs="Times New Roman"/>
        </w:rPr>
        <w:t xml:space="preserve">Celková režie MAS:  10 </w:t>
      </w:r>
      <w:r w:rsidR="00E97C05" w:rsidRPr="00A6323E">
        <w:rPr>
          <w:rFonts w:ascii="Times New Roman" w:hAnsi="Times New Roman" w:cs="Times New Roman"/>
        </w:rPr>
        <w:t>209</w:t>
      </w:r>
      <w:r>
        <w:rPr>
          <w:rFonts w:ascii="Times New Roman" w:hAnsi="Times New Roman" w:cs="Times New Roman"/>
        </w:rPr>
        <w:t xml:space="preserve"> </w:t>
      </w:r>
      <w:r w:rsidR="00E97C05" w:rsidRPr="00A6323E">
        <w:rPr>
          <w:rFonts w:ascii="Times New Roman" w:hAnsi="Times New Roman" w:cs="Times New Roman"/>
        </w:rPr>
        <w:t>785 Kč</w:t>
      </w:r>
    </w:p>
    <w:p w:rsidR="00E97C05" w:rsidRPr="00A6323E" w:rsidRDefault="00E97C05" w:rsidP="00A6323E">
      <w:pPr>
        <w:ind w:firstLine="0"/>
        <w:rPr>
          <w:rFonts w:ascii="Times New Roman" w:hAnsi="Times New Roman" w:cs="Times New Roman"/>
        </w:rPr>
      </w:pPr>
      <w:r w:rsidRPr="00A6323E">
        <w:rPr>
          <w:rFonts w:ascii="Times New Roman" w:hAnsi="Times New Roman" w:cs="Times New Roman"/>
        </w:rPr>
        <w:t>SCLLD MAS SKCH bud</w:t>
      </w:r>
      <w:r w:rsidR="00A6323E">
        <w:rPr>
          <w:rFonts w:ascii="Times New Roman" w:hAnsi="Times New Roman" w:cs="Times New Roman"/>
        </w:rPr>
        <w:t xml:space="preserve">e v IROP implementována </w:t>
      </w:r>
      <w:r w:rsidRPr="00A6323E">
        <w:rPr>
          <w:rFonts w:ascii="Times New Roman" w:hAnsi="Times New Roman" w:cs="Times New Roman"/>
        </w:rPr>
        <w:t>v prioritní ose 4.1 Komunitně vedený místní rozvoj.</w:t>
      </w:r>
    </w:p>
    <w:tbl>
      <w:tblPr>
        <w:tblStyle w:val="Mkatabulky"/>
        <w:tblW w:w="10277" w:type="dxa"/>
        <w:jc w:val="center"/>
        <w:tblLook w:val="04A0" w:firstRow="1" w:lastRow="0" w:firstColumn="1" w:lastColumn="0" w:noHBand="0" w:noVBand="1"/>
      </w:tblPr>
      <w:tblGrid>
        <w:gridCol w:w="3675"/>
        <w:gridCol w:w="2553"/>
        <w:gridCol w:w="4049"/>
      </w:tblGrid>
      <w:tr w:rsidR="00E97C05" w:rsidRPr="00A6323E" w:rsidTr="00E97C05">
        <w:trPr>
          <w:cantSplit/>
          <w:trHeight w:val="412"/>
          <w:tblHeader/>
          <w:jc w:val="center"/>
        </w:trPr>
        <w:tc>
          <w:tcPr>
            <w:tcW w:w="3675" w:type="dxa"/>
            <w:shd w:val="clear" w:color="auto" w:fill="FFFF00"/>
            <w:vAlign w:val="center"/>
          </w:tcPr>
          <w:p w:rsidR="00E97C05" w:rsidRPr="00A6323E" w:rsidRDefault="00E97C05" w:rsidP="00E97C05">
            <w:pPr>
              <w:jc w:val="center"/>
              <w:rPr>
                <w:rFonts w:ascii="Times New Roman" w:hAnsi="Times New Roman" w:cs="Times New Roman"/>
                <w:b/>
              </w:rPr>
            </w:pPr>
            <w:r w:rsidRPr="00A6323E">
              <w:rPr>
                <w:rFonts w:ascii="Times New Roman" w:hAnsi="Times New Roman" w:cs="Times New Roman"/>
                <w:b/>
              </w:rPr>
              <w:t>Specifický cíl IROP</w:t>
            </w:r>
          </w:p>
        </w:tc>
        <w:tc>
          <w:tcPr>
            <w:tcW w:w="2553" w:type="dxa"/>
            <w:shd w:val="clear" w:color="auto" w:fill="FFFF00"/>
            <w:vAlign w:val="center"/>
          </w:tcPr>
          <w:p w:rsidR="00E97C05" w:rsidRPr="00A6323E" w:rsidRDefault="00E97C05" w:rsidP="00E97C05">
            <w:pPr>
              <w:jc w:val="center"/>
              <w:rPr>
                <w:rFonts w:ascii="Times New Roman" w:hAnsi="Times New Roman" w:cs="Times New Roman"/>
                <w:b/>
              </w:rPr>
            </w:pPr>
            <w:r w:rsidRPr="00A6323E">
              <w:rPr>
                <w:rFonts w:ascii="Times New Roman" w:hAnsi="Times New Roman" w:cs="Times New Roman"/>
                <w:b/>
              </w:rPr>
              <w:t xml:space="preserve">Opatření PR SCLLD </w:t>
            </w:r>
          </w:p>
        </w:tc>
        <w:tc>
          <w:tcPr>
            <w:tcW w:w="4049" w:type="dxa"/>
            <w:shd w:val="clear" w:color="auto" w:fill="FFFF00"/>
            <w:vAlign w:val="center"/>
          </w:tcPr>
          <w:p w:rsidR="00E97C05" w:rsidRPr="00A6323E" w:rsidRDefault="00E97C05" w:rsidP="00E97C05">
            <w:pPr>
              <w:jc w:val="center"/>
              <w:rPr>
                <w:rFonts w:ascii="Times New Roman" w:hAnsi="Times New Roman" w:cs="Times New Roman"/>
                <w:b/>
              </w:rPr>
            </w:pPr>
            <w:r w:rsidRPr="00A6323E">
              <w:rPr>
                <w:rFonts w:ascii="Times New Roman" w:hAnsi="Times New Roman" w:cs="Times New Roman"/>
                <w:b/>
              </w:rPr>
              <w:t>Komentář k výběru/nevýběru opatření</w:t>
            </w:r>
          </w:p>
        </w:tc>
      </w:tr>
      <w:tr w:rsidR="00E97C05" w:rsidRPr="00A6323E" w:rsidTr="00A6323E">
        <w:trPr>
          <w:cantSplit/>
          <w:trHeight w:val="1601"/>
          <w:jc w:val="center"/>
        </w:trPr>
        <w:tc>
          <w:tcPr>
            <w:tcW w:w="3675"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SC 1.2 Zvýšení podílu udržitelných forem dopravy</w:t>
            </w:r>
          </w:p>
        </w:tc>
        <w:tc>
          <w:tcPr>
            <w:tcW w:w="2553" w:type="dxa"/>
            <w:vAlign w:val="center"/>
          </w:tcPr>
          <w:p w:rsidR="00E97C05" w:rsidRPr="00A6323E" w:rsidRDefault="00E97C05" w:rsidP="00E97C05">
            <w:pPr>
              <w:rPr>
                <w:rFonts w:ascii="Times New Roman" w:hAnsi="Times New Roman" w:cs="Times New Roman"/>
                <w:sz w:val="20"/>
              </w:rPr>
            </w:pPr>
          </w:p>
          <w:p w:rsidR="00E97C05" w:rsidRPr="00A6323E" w:rsidRDefault="00E97C05" w:rsidP="00E97C05">
            <w:pPr>
              <w:rPr>
                <w:rFonts w:ascii="Times New Roman" w:hAnsi="Times New Roman" w:cs="Times New Roman"/>
                <w:sz w:val="20"/>
              </w:rPr>
            </w:pPr>
          </w:p>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 xml:space="preserve">                    -</w:t>
            </w:r>
          </w:p>
        </w:tc>
        <w:tc>
          <w:tcPr>
            <w:tcW w:w="4049"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Není relevantní, neboť cyklostezky řeší Svazek obcí Košumberska a finanční prostředky Mas jsou příliš nízké, pořízení nízkoemisních vozidel je zájmen obcí, kt. žádat nemohou a samotnou dobíjecí stanici budovat nelze</w:t>
            </w:r>
          </w:p>
        </w:tc>
      </w:tr>
      <w:tr w:rsidR="00E97C05" w:rsidRPr="00A6323E" w:rsidTr="00E97C05">
        <w:trPr>
          <w:cantSplit/>
          <w:trHeight w:val="806"/>
          <w:jc w:val="center"/>
        </w:trPr>
        <w:tc>
          <w:tcPr>
            <w:tcW w:w="3675"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SC 1.3 Zvýšení připravenosti k řešení a řízení rizik a katastrof</w:t>
            </w:r>
          </w:p>
        </w:tc>
        <w:tc>
          <w:tcPr>
            <w:tcW w:w="2553" w:type="dxa"/>
            <w:vAlign w:val="center"/>
          </w:tcPr>
          <w:p w:rsidR="00E97C05" w:rsidRPr="00A6323E" w:rsidRDefault="00E97C05" w:rsidP="00E97C05">
            <w:pPr>
              <w:jc w:val="center"/>
              <w:rPr>
                <w:rFonts w:ascii="Times New Roman" w:hAnsi="Times New Roman" w:cs="Times New Roman"/>
                <w:sz w:val="20"/>
              </w:rPr>
            </w:pPr>
            <w:r w:rsidRPr="00A6323E">
              <w:rPr>
                <w:rFonts w:ascii="Times New Roman" w:hAnsi="Times New Roman" w:cs="Times New Roman"/>
                <w:sz w:val="20"/>
              </w:rPr>
              <w:t>Bezpečnost, odolnost a připravenost regionu-podmínka rozvoje</w:t>
            </w:r>
          </w:p>
        </w:tc>
        <w:tc>
          <w:tcPr>
            <w:tcW w:w="4049"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 xml:space="preserve"> MAS SKCH dle územní specifikace a po dohodě v území (součást členské základny)podpoří obnovu a doplnění vybavení složek IZS</w:t>
            </w:r>
          </w:p>
        </w:tc>
      </w:tr>
      <w:tr w:rsidR="00E97C05" w:rsidRPr="00A6323E" w:rsidTr="00E97C05">
        <w:trPr>
          <w:cantSplit/>
          <w:trHeight w:val="806"/>
          <w:jc w:val="center"/>
        </w:trPr>
        <w:tc>
          <w:tcPr>
            <w:tcW w:w="3675"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SC 2.1 Zvýšení kvality a dostupnosti služeb vedoucí k sociální inkluzi</w:t>
            </w:r>
          </w:p>
        </w:tc>
        <w:tc>
          <w:tcPr>
            <w:tcW w:w="2553" w:type="dxa"/>
            <w:vAlign w:val="center"/>
          </w:tcPr>
          <w:p w:rsidR="00E97C05" w:rsidRPr="00A6323E" w:rsidRDefault="00E97C05" w:rsidP="00E97C05">
            <w:pPr>
              <w:jc w:val="center"/>
              <w:rPr>
                <w:rFonts w:ascii="Times New Roman" w:hAnsi="Times New Roman" w:cs="Times New Roman"/>
                <w:sz w:val="20"/>
              </w:rPr>
            </w:pPr>
            <w:r w:rsidRPr="00A6323E">
              <w:rPr>
                <w:rFonts w:ascii="Times New Roman" w:hAnsi="Times New Roman" w:cs="Times New Roman"/>
                <w:sz w:val="20"/>
              </w:rPr>
              <w:t>Sociální inkluze-cesta moderní komunity</w:t>
            </w:r>
          </w:p>
        </w:tc>
        <w:tc>
          <w:tcPr>
            <w:tcW w:w="4049"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Na základě výsledků zjišťování absorpční kapacity území nebude tento SC podporován prostřednictvím SCLLD.</w:t>
            </w:r>
          </w:p>
        </w:tc>
      </w:tr>
      <w:tr w:rsidR="00E97C05" w:rsidRPr="00A6323E" w:rsidTr="00E97C05">
        <w:trPr>
          <w:cantSplit/>
          <w:trHeight w:val="806"/>
          <w:jc w:val="center"/>
        </w:trPr>
        <w:tc>
          <w:tcPr>
            <w:tcW w:w="3675"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SC 2.2 Vznik nových a rozvoj existujících podnikatelských aktivit v oblasti sociálního podnikání</w:t>
            </w:r>
          </w:p>
        </w:tc>
        <w:tc>
          <w:tcPr>
            <w:tcW w:w="2553" w:type="dxa"/>
            <w:vAlign w:val="center"/>
          </w:tcPr>
          <w:p w:rsidR="00E97C05" w:rsidRPr="00A6323E" w:rsidRDefault="00E97C05" w:rsidP="00E97C05">
            <w:pPr>
              <w:jc w:val="center"/>
              <w:rPr>
                <w:rFonts w:ascii="Times New Roman" w:hAnsi="Times New Roman" w:cs="Times New Roman"/>
                <w:sz w:val="20"/>
              </w:rPr>
            </w:pPr>
            <w:r w:rsidRPr="00A6323E">
              <w:rPr>
                <w:rFonts w:ascii="Times New Roman" w:hAnsi="Times New Roman" w:cs="Times New Roman"/>
                <w:sz w:val="20"/>
              </w:rPr>
              <w:t>Sociální podnikání-zisk nejsou jen peníze</w:t>
            </w:r>
          </w:p>
        </w:tc>
        <w:tc>
          <w:tcPr>
            <w:tcW w:w="4049"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MAS SKCH identifikovala zájemce o uvedenou oblast, která na území zcela chybí a bude ji podporovat</w:t>
            </w:r>
          </w:p>
        </w:tc>
      </w:tr>
      <w:tr w:rsidR="00E97C05" w:rsidRPr="00A6323E" w:rsidTr="00E97C05">
        <w:trPr>
          <w:cantSplit/>
          <w:trHeight w:val="806"/>
          <w:jc w:val="center"/>
        </w:trPr>
        <w:tc>
          <w:tcPr>
            <w:tcW w:w="3675"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SC 2.3 Rozvoj infrastruktury pro poskytování zdravotních služeb a péče o zdraví</w:t>
            </w:r>
          </w:p>
        </w:tc>
        <w:tc>
          <w:tcPr>
            <w:tcW w:w="2553" w:type="dxa"/>
            <w:vAlign w:val="center"/>
          </w:tcPr>
          <w:p w:rsidR="00E97C05" w:rsidRPr="00A6323E" w:rsidRDefault="00E97C05" w:rsidP="00E97C05">
            <w:pPr>
              <w:jc w:val="center"/>
              <w:rPr>
                <w:rFonts w:ascii="Times New Roman" w:hAnsi="Times New Roman" w:cs="Times New Roman"/>
                <w:sz w:val="20"/>
              </w:rPr>
            </w:pPr>
            <w:r w:rsidRPr="00A6323E">
              <w:rPr>
                <w:rFonts w:ascii="Times New Roman" w:hAnsi="Times New Roman" w:cs="Times New Roman"/>
                <w:sz w:val="20"/>
              </w:rPr>
              <w:t>-</w:t>
            </w:r>
          </w:p>
        </w:tc>
        <w:tc>
          <w:tcPr>
            <w:tcW w:w="4049"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Není pro MAS SKCH relevantní, na území neexistují oprávněná zdravotnická zařízení.</w:t>
            </w:r>
          </w:p>
        </w:tc>
      </w:tr>
      <w:tr w:rsidR="00E97C05" w:rsidRPr="00A6323E" w:rsidTr="00E97C05">
        <w:trPr>
          <w:cantSplit/>
          <w:trHeight w:val="806"/>
          <w:jc w:val="center"/>
        </w:trPr>
        <w:tc>
          <w:tcPr>
            <w:tcW w:w="3675"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SC 2.4 Zvýšení kvality a dostupnosti infrastruktury pro vzdělávání a celoživotní učení</w:t>
            </w:r>
          </w:p>
        </w:tc>
        <w:tc>
          <w:tcPr>
            <w:tcW w:w="2553"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Kvalitní vzdělávání -úspěšná budoucnost</w:t>
            </w:r>
          </w:p>
        </w:tc>
        <w:tc>
          <w:tcPr>
            <w:tcW w:w="4049"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MAS SKCH bude dle zásobníku projektů z území podporovat nárůst kvality a dostupnosti vzdělávání na ZŠ, MŠ (často pod jedním IZO), volnočasové vzdělávání dětí a celoživotní vzdělávání dospělých.</w:t>
            </w:r>
          </w:p>
        </w:tc>
      </w:tr>
      <w:tr w:rsidR="00E97C05" w:rsidRPr="00A6323E" w:rsidTr="00E97C05">
        <w:trPr>
          <w:cantSplit/>
          <w:trHeight w:val="806"/>
          <w:jc w:val="center"/>
        </w:trPr>
        <w:tc>
          <w:tcPr>
            <w:tcW w:w="3675"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SC 3.1 Zefektivnění prezentace, posílení ochrany a rozvoje kulturního dědictví</w:t>
            </w:r>
          </w:p>
        </w:tc>
        <w:tc>
          <w:tcPr>
            <w:tcW w:w="2553" w:type="dxa"/>
            <w:vAlign w:val="center"/>
          </w:tcPr>
          <w:p w:rsidR="00E97C05" w:rsidRPr="00A6323E" w:rsidRDefault="00E97C05" w:rsidP="00E97C05">
            <w:pPr>
              <w:jc w:val="center"/>
              <w:rPr>
                <w:rFonts w:ascii="Times New Roman" w:hAnsi="Times New Roman" w:cs="Times New Roman"/>
                <w:sz w:val="20"/>
              </w:rPr>
            </w:pPr>
            <w:r w:rsidRPr="00A6323E">
              <w:rPr>
                <w:rFonts w:ascii="Times New Roman" w:hAnsi="Times New Roman" w:cs="Times New Roman"/>
                <w:sz w:val="20"/>
              </w:rPr>
              <w:t>-</w:t>
            </w:r>
          </w:p>
        </w:tc>
        <w:tc>
          <w:tcPr>
            <w:tcW w:w="4049"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 xml:space="preserve">Není pro MAS SKCH relevantní, na území se nenalézají památky způsobilé pro financování z IROP. </w:t>
            </w:r>
          </w:p>
        </w:tc>
      </w:tr>
      <w:tr w:rsidR="00E97C05" w:rsidRPr="00A6323E" w:rsidTr="00E97C05">
        <w:trPr>
          <w:cantSplit/>
          <w:jc w:val="center"/>
        </w:trPr>
        <w:tc>
          <w:tcPr>
            <w:tcW w:w="3675"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SC 3.3 Podpora pořizování a uplatňování dokumentů územního rozvoje</w:t>
            </w:r>
          </w:p>
        </w:tc>
        <w:tc>
          <w:tcPr>
            <w:tcW w:w="2553" w:type="dxa"/>
            <w:vAlign w:val="center"/>
          </w:tcPr>
          <w:p w:rsidR="00E97C05" w:rsidRPr="00A6323E" w:rsidRDefault="00E97C05" w:rsidP="00E97C05">
            <w:pPr>
              <w:jc w:val="center"/>
              <w:rPr>
                <w:rFonts w:ascii="Times New Roman" w:hAnsi="Times New Roman" w:cs="Times New Roman"/>
                <w:sz w:val="20"/>
              </w:rPr>
            </w:pPr>
            <w:r w:rsidRPr="00A6323E">
              <w:rPr>
                <w:rFonts w:ascii="Times New Roman" w:hAnsi="Times New Roman" w:cs="Times New Roman"/>
                <w:sz w:val="20"/>
              </w:rPr>
              <w:t>-</w:t>
            </w:r>
          </w:p>
        </w:tc>
        <w:tc>
          <w:tcPr>
            <w:tcW w:w="4049" w:type="dxa"/>
            <w:vAlign w:val="center"/>
          </w:tcPr>
          <w:p w:rsidR="00E97C05" w:rsidRPr="00A6323E" w:rsidRDefault="00E97C05" w:rsidP="00E97C05">
            <w:pPr>
              <w:rPr>
                <w:rFonts w:ascii="Times New Roman" w:hAnsi="Times New Roman" w:cs="Times New Roman"/>
                <w:sz w:val="20"/>
              </w:rPr>
            </w:pPr>
            <w:r w:rsidRPr="00A6323E">
              <w:rPr>
                <w:rFonts w:ascii="Times New Roman" w:hAnsi="Times New Roman" w:cs="Times New Roman"/>
                <w:sz w:val="20"/>
              </w:rPr>
              <w:t>MAS SKCH nebude po dohodě v území realizovat projekty tohoto typu.</w:t>
            </w:r>
          </w:p>
        </w:tc>
      </w:tr>
    </w:tbl>
    <w:p w:rsidR="00E97C05" w:rsidRPr="00A6323E" w:rsidRDefault="00E97C05" w:rsidP="00E97C05">
      <w:pPr>
        <w:rPr>
          <w:rFonts w:ascii="Times New Roman" w:hAnsi="Times New Roman" w:cs="Times New Roman"/>
        </w:rPr>
      </w:pPr>
    </w:p>
    <w:p w:rsidR="00A6323E" w:rsidRDefault="00A6323E" w:rsidP="00A6323E">
      <w:pPr>
        <w:ind w:firstLine="0"/>
        <w:rPr>
          <w:rFonts w:ascii="Times New Roman" w:hAnsi="Times New Roman" w:cs="Times New Roman"/>
        </w:rPr>
      </w:pPr>
    </w:p>
    <w:p w:rsidR="00A6323E" w:rsidRDefault="00A6323E" w:rsidP="00A6323E">
      <w:pPr>
        <w:ind w:firstLine="0"/>
        <w:rPr>
          <w:rFonts w:ascii="Times New Roman" w:hAnsi="Times New Roman" w:cs="Times New Roman"/>
          <w:sz w:val="20"/>
          <w:szCs w:val="22"/>
        </w:rPr>
      </w:pPr>
    </w:p>
    <w:p w:rsidR="00E97C05" w:rsidRPr="00A6323E" w:rsidRDefault="00E97C05" w:rsidP="00A6323E">
      <w:pPr>
        <w:ind w:firstLine="0"/>
        <w:rPr>
          <w:rFonts w:ascii="Times New Roman" w:hAnsi="Times New Roman" w:cs="Times New Roman"/>
          <w:sz w:val="20"/>
          <w:szCs w:val="22"/>
        </w:rPr>
      </w:pPr>
      <w:r w:rsidRPr="00A6323E">
        <w:rPr>
          <w:rFonts w:ascii="Times New Roman" w:hAnsi="Times New Roman" w:cs="Times New Roman"/>
          <w:sz w:val="20"/>
          <w:szCs w:val="22"/>
        </w:rPr>
        <w:lastRenderedPageBreak/>
        <w:t>Soulad strategie MAS byl nalezen v opatřeních IROP :</w:t>
      </w:r>
    </w:p>
    <w:p w:rsidR="00E97C05" w:rsidRPr="00A6323E" w:rsidRDefault="00E97C05" w:rsidP="00A6323E">
      <w:pPr>
        <w:pStyle w:val="Odstavecseseznamem"/>
        <w:numPr>
          <w:ilvl w:val="0"/>
          <w:numId w:val="24"/>
        </w:numPr>
        <w:rPr>
          <w:rFonts w:ascii="Times New Roman" w:hAnsi="Times New Roman" w:cs="Times New Roman"/>
          <w:sz w:val="20"/>
          <w:szCs w:val="22"/>
        </w:rPr>
      </w:pPr>
      <w:r w:rsidRPr="00A6323E">
        <w:rPr>
          <w:rFonts w:ascii="Times New Roman" w:hAnsi="Times New Roman" w:cs="Times New Roman"/>
          <w:sz w:val="20"/>
          <w:szCs w:val="22"/>
        </w:rPr>
        <w:t>1.3: Zvýšení připravenosti k řešení a řízení rizik a katastrof</w:t>
      </w:r>
    </w:p>
    <w:p w:rsidR="00E97C05" w:rsidRPr="00A6323E" w:rsidRDefault="00A6323E" w:rsidP="00A6323E">
      <w:pPr>
        <w:pStyle w:val="Odstavecseseznamem"/>
        <w:numPr>
          <w:ilvl w:val="0"/>
          <w:numId w:val="24"/>
        </w:numPr>
        <w:rPr>
          <w:rFonts w:ascii="Times New Roman" w:hAnsi="Times New Roman" w:cs="Times New Roman"/>
          <w:sz w:val="20"/>
          <w:szCs w:val="22"/>
        </w:rPr>
      </w:pPr>
      <w:r w:rsidRPr="00A6323E">
        <w:rPr>
          <w:rFonts w:ascii="Times New Roman" w:hAnsi="Times New Roman" w:cs="Times New Roman"/>
          <w:sz w:val="20"/>
          <w:szCs w:val="22"/>
        </w:rPr>
        <w:t>2</w:t>
      </w:r>
      <w:r w:rsidR="00E97C05" w:rsidRPr="00A6323E">
        <w:rPr>
          <w:rFonts w:ascii="Times New Roman" w:hAnsi="Times New Roman" w:cs="Times New Roman"/>
          <w:sz w:val="20"/>
          <w:szCs w:val="22"/>
        </w:rPr>
        <w:t>.1: Zvýšení kvality a dostupnosti služeb vedoucích k sociální inkluzi</w:t>
      </w:r>
    </w:p>
    <w:p w:rsidR="00A6323E" w:rsidRPr="00A6323E" w:rsidRDefault="00E97C05" w:rsidP="00A6323E">
      <w:pPr>
        <w:pStyle w:val="Odstavecseseznamem"/>
        <w:numPr>
          <w:ilvl w:val="0"/>
          <w:numId w:val="24"/>
        </w:numPr>
        <w:rPr>
          <w:rFonts w:ascii="Times New Roman" w:hAnsi="Times New Roman" w:cs="Times New Roman"/>
          <w:sz w:val="20"/>
          <w:szCs w:val="22"/>
        </w:rPr>
      </w:pPr>
      <w:r w:rsidRPr="00A6323E">
        <w:rPr>
          <w:rFonts w:ascii="Times New Roman" w:hAnsi="Times New Roman" w:cs="Times New Roman"/>
          <w:sz w:val="20"/>
          <w:szCs w:val="22"/>
        </w:rPr>
        <w:t>2.2. Vznik nových a rozvoj existujících podnikatelských aktivit v oblasti sociálního podnikání</w:t>
      </w:r>
    </w:p>
    <w:p w:rsidR="00E97C05" w:rsidRPr="00A6323E" w:rsidRDefault="00E97C05" w:rsidP="00A6323E">
      <w:pPr>
        <w:pStyle w:val="Odstavecseseznamem"/>
        <w:numPr>
          <w:ilvl w:val="0"/>
          <w:numId w:val="24"/>
        </w:numPr>
        <w:rPr>
          <w:rFonts w:ascii="Times New Roman" w:hAnsi="Times New Roman" w:cs="Times New Roman"/>
          <w:sz w:val="20"/>
          <w:szCs w:val="22"/>
        </w:rPr>
      </w:pPr>
      <w:r w:rsidRPr="00A6323E">
        <w:rPr>
          <w:rFonts w:ascii="Times New Roman" w:hAnsi="Times New Roman" w:cs="Times New Roman"/>
          <w:sz w:val="20"/>
          <w:szCs w:val="22"/>
        </w:rPr>
        <w:t>2.4. Zvýšení kvality a dostupnosti infrastruktury pro vzdělávání a celoživotní učení</w:t>
      </w:r>
    </w:p>
    <w:p w:rsidR="00E97C05" w:rsidRPr="00A6323E" w:rsidRDefault="00E97C05" w:rsidP="00E97C05">
      <w:pPr>
        <w:rPr>
          <w:rFonts w:ascii="Times New Roman" w:hAnsi="Times New Roman" w:cs="Times New Roman"/>
          <w:sz w:val="20"/>
          <w:szCs w:val="22"/>
        </w:rPr>
      </w:pPr>
      <w:r w:rsidRPr="00A6323E">
        <w:rPr>
          <w:rFonts w:ascii="Times New Roman" w:hAnsi="Times New Roman" w:cs="Times New Roman"/>
          <w:sz w:val="20"/>
          <w:szCs w:val="22"/>
        </w:rPr>
        <w:t>Na tato opatření IROP je zpracován programový rámec s opatřeními PR (programového rámce) SCLLD, který usiluje o nastavení regionální konkurenceschopnosti a zlepšení kvality života obyvatel s ohledem na vyvážený rozvoj území a pokud to lze v souladu s prioritami relevantních aktérů působících v regionu.</w:t>
      </w:r>
    </w:p>
    <w:p w:rsidR="00E97C05" w:rsidRPr="00A6323E" w:rsidRDefault="00E97C05" w:rsidP="00A6323E">
      <w:pPr>
        <w:ind w:firstLine="0"/>
        <w:rPr>
          <w:rFonts w:ascii="Times New Roman" w:hAnsi="Times New Roman" w:cs="Times New Roman"/>
          <w:sz w:val="20"/>
          <w:szCs w:val="22"/>
        </w:rPr>
      </w:pPr>
      <w:r w:rsidRPr="00A6323E">
        <w:rPr>
          <w:rFonts w:ascii="Times New Roman" w:hAnsi="Times New Roman" w:cs="Times New Roman"/>
          <w:sz w:val="20"/>
          <w:szCs w:val="22"/>
        </w:rPr>
        <w:t>Jedná se o</w:t>
      </w:r>
      <w:r w:rsidR="00A6323E">
        <w:rPr>
          <w:rFonts w:ascii="Times New Roman" w:hAnsi="Times New Roman" w:cs="Times New Roman"/>
          <w:sz w:val="20"/>
          <w:szCs w:val="22"/>
        </w:rPr>
        <w:t>:</w:t>
      </w:r>
      <w:r w:rsidRPr="00A6323E">
        <w:rPr>
          <w:rFonts w:ascii="Times New Roman" w:hAnsi="Times New Roman" w:cs="Times New Roman"/>
          <w:sz w:val="20"/>
          <w:szCs w:val="22"/>
        </w:rPr>
        <w:t xml:space="preserve"> </w:t>
      </w:r>
    </w:p>
    <w:p w:rsidR="00E97C05" w:rsidRPr="00A6323E" w:rsidRDefault="00E97C05" w:rsidP="00A6323E">
      <w:pPr>
        <w:pStyle w:val="Odstavecseseznamem"/>
        <w:numPr>
          <w:ilvl w:val="0"/>
          <w:numId w:val="25"/>
        </w:numPr>
        <w:rPr>
          <w:rFonts w:ascii="Times New Roman" w:hAnsi="Times New Roman" w:cs="Times New Roman"/>
          <w:sz w:val="20"/>
          <w:szCs w:val="22"/>
        </w:rPr>
      </w:pPr>
      <w:r w:rsidRPr="00A6323E">
        <w:rPr>
          <w:rFonts w:ascii="Times New Roman" w:hAnsi="Times New Roman" w:cs="Times New Roman"/>
          <w:sz w:val="20"/>
          <w:szCs w:val="22"/>
        </w:rPr>
        <w:t>Opatření 1: Bezpečnost, odolnost a připravenost regionu</w:t>
      </w:r>
      <w:r w:rsidR="00A6323E">
        <w:rPr>
          <w:rFonts w:ascii="Times New Roman" w:hAnsi="Times New Roman" w:cs="Times New Roman"/>
          <w:sz w:val="20"/>
          <w:szCs w:val="22"/>
        </w:rPr>
        <w:t xml:space="preserve"> </w:t>
      </w:r>
      <w:r w:rsidRPr="00A6323E">
        <w:rPr>
          <w:rFonts w:ascii="Times New Roman" w:hAnsi="Times New Roman" w:cs="Times New Roman"/>
          <w:sz w:val="20"/>
          <w:szCs w:val="22"/>
        </w:rPr>
        <w:t>- podmínka rozvoje</w:t>
      </w:r>
    </w:p>
    <w:p w:rsidR="00E97C05" w:rsidRPr="00A6323E" w:rsidRDefault="00E97C05" w:rsidP="00A6323E">
      <w:pPr>
        <w:pStyle w:val="Odstavecseseznamem"/>
        <w:numPr>
          <w:ilvl w:val="0"/>
          <w:numId w:val="25"/>
        </w:numPr>
        <w:rPr>
          <w:rFonts w:ascii="Times New Roman" w:hAnsi="Times New Roman" w:cs="Times New Roman"/>
          <w:sz w:val="20"/>
          <w:szCs w:val="22"/>
        </w:rPr>
      </w:pPr>
      <w:r w:rsidRPr="00A6323E">
        <w:rPr>
          <w:rFonts w:ascii="Times New Roman" w:hAnsi="Times New Roman" w:cs="Times New Roman"/>
          <w:sz w:val="20"/>
          <w:szCs w:val="22"/>
        </w:rPr>
        <w:t>Opatření 2: Sociální inkluze</w:t>
      </w:r>
      <w:r w:rsidR="00A6323E">
        <w:rPr>
          <w:rFonts w:ascii="Times New Roman" w:hAnsi="Times New Roman" w:cs="Times New Roman"/>
          <w:sz w:val="20"/>
          <w:szCs w:val="22"/>
        </w:rPr>
        <w:t xml:space="preserve"> </w:t>
      </w:r>
      <w:r w:rsidRPr="00A6323E">
        <w:rPr>
          <w:rFonts w:ascii="Times New Roman" w:hAnsi="Times New Roman" w:cs="Times New Roman"/>
          <w:sz w:val="20"/>
          <w:szCs w:val="22"/>
        </w:rPr>
        <w:t>-</w:t>
      </w:r>
      <w:r w:rsidR="00A6323E">
        <w:rPr>
          <w:rFonts w:ascii="Times New Roman" w:hAnsi="Times New Roman" w:cs="Times New Roman"/>
          <w:sz w:val="20"/>
          <w:szCs w:val="22"/>
        </w:rPr>
        <w:t xml:space="preserve"> </w:t>
      </w:r>
      <w:r w:rsidRPr="00A6323E">
        <w:rPr>
          <w:rFonts w:ascii="Times New Roman" w:hAnsi="Times New Roman" w:cs="Times New Roman"/>
          <w:sz w:val="20"/>
          <w:szCs w:val="22"/>
        </w:rPr>
        <w:t>cesta moderní komunity</w:t>
      </w:r>
    </w:p>
    <w:p w:rsidR="00E97C05" w:rsidRPr="00A6323E" w:rsidRDefault="00E97C05" w:rsidP="00A6323E">
      <w:pPr>
        <w:pStyle w:val="Odstavecseseznamem"/>
        <w:numPr>
          <w:ilvl w:val="0"/>
          <w:numId w:val="25"/>
        </w:numPr>
        <w:rPr>
          <w:rFonts w:ascii="Times New Roman" w:hAnsi="Times New Roman" w:cs="Times New Roman"/>
          <w:sz w:val="20"/>
          <w:szCs w:val="22"/>
        </w:rPr>
      </w:pPr>
      <w:r w:rsidRPr="00A6323E">
        <w:rPr>
          <w:rFonts w:ascii="Times New Roman" w:hAnsi="Times New Roman" w:cs="Times New Roman"/>
          <w:sz w:val="20"/>
          <w:szCs w:val="22"/>
        </w:rPr>
        <w:t>Opatření 3: Sociální podnikání</w:t>
      </w:r>
      <w:r w:rsidR="00A6323E">
        <w:rPr>
          <w:rFonts w:ascii="Times New Roman" w:hAnsi="Times New Roman" w:cs="Times New Roman"/>
          <w:sz w:val="20"/>
          <w:szCs w:val="22"/>
        </w:rPr>
        <w:t xml:space="preserve"> </w:t>
      </w:r>
      <w:r w:rsidRPr="00A6323E">
        <w:rPr>
          <w:rFonts w:ascii="Times New Roman" w:hAnsi="Times New Roman" w:cs="Times New Roman"/>
          <w:sz w:val="20"/>
          <w:szCs w:val="22"/>
        </w:rPr>
        <w:t>-</w:t>
      </w:r>
      <w:r w:rsidR="00A6323E">
        <w:rPr>
          <w:rFonts w:ascii="Times New Roman" w:hAnsi="Times New Roman" w:cs="Times New Roman"/>
          <w:sz w:val="20"/>
          <w:szCs w:val="22"/>
        </w:rPr>
        <w:t xml:space="preserve"> </w:t>
      </w:r>
      <w:r w:rsidRPr="00A6323E">
        <w:rPr>
          <w:rFonts w:ascii="Times New Roman" w:hAnsi="Times New Roman" w:cs="Times New Roman"/>
          <w:sz w:val="20"/>
          <w:szCs w:val="22"/>
        </w:rPr>
        <w:t>zisk nejsou jen peníze</w:t>
      </w:r>
    </w:p>
    <w:p w:rsidR="00E97C05" w:rsidRPr="00A6323E" w:rsidRDefault="00E97C05" w:rsidP="00A6323E">
      <w:pPr>
        <w:pStyle w:val="Odstavecseseznamem"/>
        <w:numPr>
          <w:ilvl w:val="0"/>
          <w:numId w:val="25"/>
        </w:numPr>
        <w:rPr>
          <w:rFonts w:ascii="Times New Roman" w:hAnsi="Times New Roman" w:cs="Times New Roman"/>
          <w:sz w:val="20"/>
          <w:szCs w:val="22"/>
        </w:rPr>
      </w:pPr>
      <w:r w:rsidRPr="00A6323E">
        <w:rPr>
          <w:rFonts w:ascii="Times New Roman" w:hAnsi="Times New Roman" w:cs="Times New Roman"/>
          <w:sz w:val="20"/>
          <w:szCs w:val="22"/>
        </w:rPr>
        <w:t>Opatření 4: Kvalitní vzdělávání</w:t>
      </w:r>
      <w:r w:rsidR="00A6323E">
        <w:rPr>
          <w:rFonts w:ascii="Times New Roman" w:hAnsi="Times New Roman" w:cs="Times New Roman"/>
          <w:sz w:val="20"/>
          <w:szCs w:val="22"/>
        </w:rPr>
        <w:t xml:space="preserve"> </w:t>
      </w:r>
      <w:r w:rsidRPr="00A6323E">
        <w:rPr>
          <w:rFonts w:ascii="Times New Roman" w:hAnsi="Times New Roman" w:cs="Times New Roman"/>
          <w:sz w:val="20"/>
          <w:szCs w:val="22"/>
        </w:rPr>
        <w:t>-</w:t>
      </w:r>
      <w:r w:rsidR="00A6323E">
        <w:rPr>
          <w:rFonts w:ascii="Times New Roman" w:hAnsi="Times New Roman" w:cs="Times New Roman"/>
          <w:sz w:val="20"/>
          <w:szCs w:val="22"/>
        </w:rPr>
        <w:t xml:space="preserve"> </w:t>
      </w:r>
      <w:r w:rsidRPr="00A6323E">
        <w:rPr>
          <w:rFonts w:ascii="Times New Roman" w:hAnsi="Times New Roman" w:cs="Times New Roman"/>
          <w:sz w:val="20"/>
          <w:szCs w:val="22"/>
        </w:rPr>
        <w:t>úspěšná budoucnost</w:t>
      </w:r>
    </w:p>
    <w:p w:rsidR="00E97C05" w:rsidRPr="00A6323E" w:rsidRDefault="00E97C05" w:rsidP="00E97C05">
      <w:pPr>
        <w:rPr>
          <w:rFonts w:ascii="Times New Roman" w:hAnsi="Times New Roman" w:cs="Times New Roman"/>
          <w:sz w:val="20"/>
          <w:szCs w:val="22"/>
        </w:rPr>
      </w:pPr>
      <w:r w:rsidRPr="00A6323E">
        <w:rPr>
          <w:rFonts w:ascii="Times New Roman" w:hAnsi="Times New Roman" w:cs="Times New Roman"/>
          <w:sz w:val="20"/>
          <w:szCs w:val="22"/>
        </w:rPr>
        <w:t xml:space="preserve">V rámci programového rámce IROP budou vybírány projekty dle pravidel výběru projektů MAS SKCH pro dané kolo vyhlášené výzvy. </w:t>
      </w:r>
    </w:p>
    <w:p w:rsidR="00E97C05" w:rsidRPr="00A6323E" w:rsidRDefault="00E97C05" w:rsidP="00E97C05">
      <w:pPr>
        <w:rPr>
          <w:rFonts w:ascii="Times New Roman" w:hAnsi="Times New Roman" w:cs="Times New Roman"/>
          <w:sz w:val="20"/>
          <w:szCs w:val="22"/>
        </w:rPr>
      </w:pPr>
      <w:r w:rsidRPr="00A6323E">
        <w:rPr>
          <w:rFonts w:ascii="Times New Roman" w:hAnsi="Times New Roman" w:cs="Times New Roman"/>
          <w:sz w:val="20"/>
          <w:szCs w:val="22"/>
        </w:rPr>
        <w:t>Preferenční kritéria včetně způsobu a míry zvýhodnění budou uvedeny až v rámci dané vyhlášené výzvy. V rámci preferenčních principů budou bodově zvýhodněny následující skutečnosti:</w:t>
      </w:r>
    </w:p>
    <w:p w:rsidR="00E97C05" w:rsidRPr="00A6323E" w:rsidRDefault="00E97C05" w:rsidP="00E97C05">
      <w:pPr>
        <w:numPr>
          <w:ilvl w:val="0"/>
          <w:numId w:val="23"/>
        </w:numPr>
        <w:spacing w:before="0"/>
        <w:contextualSpacing/>
        <w:jc w:val="left"/>
        <w:rPr>
          <w:rFonts w:ascii="Times New Roman" w:hAnsi="Times New Roman" w:cs="Times New Roman"/>
          <w:sz w:val="20"/>
          <w:szCs w:val="22"/>
        </w:rPr>
      </w:pPr>
      <w:r w:rsidRPr="00A6323E">
        <w:rPr>
          <w:rFonts w:ascii="Times New Roman" w:hAnsi="Times New Roman" w:cs="Times New Roman"/>
          <w:sz w:val="20"/>
          <w:szCs w:val="22"/>
        </w:rPr>
        <w:t>Zvýšení zaměstnanosti v území MAS SKCH</w:t>
      </w:r>
    </w:p>
    <w:p w:rsidR="00E97C05" w:rsidRPr="00A6323E" w:rsidRDefault="00E97C05" w:rsidP="00E97C05">
      <w:pPr>
        <w:ind w:left="720"/>
        <w:contextualSpacing/>
        <w:rPr>
          <w:rFonts w:ascii="Times New Roman" w:hAnsi="Times New Roman" w:cs="Times New Roman"/>
          <w:sz w:val="20"/>
          <w:szCs w:val="22"/>
        </w:rPr>
      </w:pPr>
      <w:r w:rsidRPr="00A6323E">
        <w:rPr>
          <w:rFonts w:ascii="Times New Roman" w:hAnsi="Times New Roman" w:cs="Times New Roman"/>
          <w:sz w:val="20"/>
          <w:szCs w:val="22"/>
        </w:rPr>
        <w:t>(</w:t>
      </w:r>
      <w:r w:rsidR="00A6323E">
        <w:rPr>
          <w:rFonts w:ascii="Times New Roman" w:hAnsi="Times New Roman" w:cs="Times New Roman"/>
          <w:sz w:val="20"/>
          <w:szCs w:val="22"/>
        </w:rPr>
        <w:t xml:space="preserve">např. vytvoření každého nového </w:t>
      </w:r>
      <w:r w:rsidRPr="00A6323E">
        <w:rPr>
          <w:rFonts w:ascii="Times New Roman" w:hAnsi="Times New Roman" w:cs="Times New Roman"/>
          <w:sz w:val="20"/>
          <w:szCs w:val="22"/>
        </w:rPr>
        <w:t>pracovního místa)</w:t>
      </w:r>
    </w:p>
    <w:p w:rsidR="00E97C05" w:rsidRPr="00A6323E" w:rsidRDefault="00A6323E" w:rsidP="00E97C05">
      <w:pPr>
        <w:numPr>
          <w:ilvl w:val="0"/>
          <w:numId w:val="23"/>
        </w:numPr>
        <w:spacing w:before="0"/>
        <w:contextualSpacing/>
        <w:jc w:val="left"/>
        <w:rPr>
          <w:rFonts w:ascii="Times New Roman" w:hAnsi="Times New Roman" w:cs="Times New Roman"/>
          <w:sz w:val="20"/>
          <w:szCs w:val="22"/>
        </w:rPr>
      </w:pPr>
      <w:r>
        <w:rPr>
          <w:rFonts w:ascii="Times New Roman" w:hAnsi="Times New Roman" w:cs="Times New Roman"/>
          <w:sz w:val="20"/>
          <w:szCs w:val="22"/>
        </w:rPr>
        <w:t xml:space="preserve">Uplatňování inovačních </w:t>
      </w:r>
      <w:r w:rsidR="00E97C05" w:rsidRPr="00A6323E">
        <w:rPr>
          <w:rFonts w:ascii="Times New Roman" w:hAnsi="Times New Roman" w:cs="Times New Roman"/>
          <w:sz w:val="20"/>
          <w:szCs w:val="22"/>
        </w:rPr>
        <w:t>přístupů</w:t>
      </w:r>
    </w:p>
    <w:p w:rsidR="00E97C05" w:rsidRPr="00A6323E" w:rsidRDefault="00A6323E" w:rsidP="00E97C05">
      <w:pPr>
        <w:numPr>
          <w:ilvl w:val="0"/>
          <w:numId w:val="23"/>
        </w:numPr>
        <w:spacing w:before="0"/>
        <w:contextualSpacing/>
        <w:jc w:val="left"/>
        <w:rPr>
          <w:rFonts w:ascii="Times New Roman" w:hAnsi="Times New Roman" w:cs="Times New Roman"/>
          <w:sz w:val="20"/>
          <w:szCs w:val="22"/>
        </w:rPr>
      </w:pPr>
      <w:r>
        <w:rPr>
          <w:rFonts w:ascii="Times New Roman" w:hAnsi="Times New Roman" w:cs="Times New Roman"/>
          <w:sz w:val="20"/>
          <w:szCs w:val="22"/>
        </w:rPr>
        <w:t xml:space="preserve">Uplatňování </w:t>
      </w:r>
      <w:r w:rsidR="00E97C05" w:rsidRPr="00A6323E">
        <w:rPr>
          <w:rFonts w:ascii="Times New Roman" w:hAnsi="Times New Roman" w:cs="Times New Roman"/>
          <w:sz w:val="20"/>
          <w:szCs w:val="22"/>
        </w:rPr>
        <w:t>integračních přístupů</w:t>
      </w:r>
    </w:p>
    <w:p w:rsidR="00E97C05" w:rsidRPr="00A6323E" w:rsidRDefault="00E97C05" w:rsidP="00E97C05">
      <w:pPr>
        <w:numPr>
          <w:ilvl w:val="0"/>
          <w:numId w:val="23"/>
        </w:numPr>
        <w:spacing w:before="0"/>
        <w:contextualSpacing/>
        <w:jc w:val="left"/>
        <w:rPr>
          <w:rFonts w:ascii="Times New Roman" w:hAnsi="Times New Roman" w:cs="Times New Roman"/>
          <w:sz w:val="20"/>
          <w:szCs w:val="22"/>
        </w:rPr>
      </w:pPr>
      <w:r w:rsidRPr="00A6323E">
        <w:rPr>
          <w:rFonts w:ascii="Times New Roman" w:hAnsi="Times New Roman" w:cs="Times New Roman"/>
          <w:sz w:val="20"/>
          <w:szCs w:val="22"/>
        </w:rPr>
        <w:t xml:space="preserve">Projekty se zkrácenou dobou realizace (méně než 12 měsíců) ve výzvách 2016, 2017 </w:t>
      </w:r>
    </w:p>
    <w:p w:rsidR="00E97C05" w:rsidRPr="00A6323E" w:rsidRDefault="00E97C05" w:rsidP="00E97C05">
      <w:pPr>
        <w:numPr>
          <w:ilvl w:val="0"/>
          <w:numId w:val="23"/>
        </w:numPr>
        <w:spacing w:before="0"/>
        <w:contextualSpacing/>
        <w:jc w:val="left"/>
        <w:rPr>
          <w:rFonts w:ascii="Times New Roman" w:hAnsi="Times New Roman" w:cs="Times New Roman"/>
          <w:sz w:val="20"/>
          <w:szCs w:val="22"/>
        </w:rPr>
      </w:pPr>
      <w:r w:rsidRPr="00A6323E">
        <w:rPr>
          <w:rFonts w:ascii="Times New Roman" w:hAnsi="Times New Roman" w:cs="Times New Roman"/>
          <w:sz w:val="20"/>
          <w:szCs w:val="22"/>
        </w:rPr>
        <w:t>Dopad projektu na více obcí či jejich částí na území MAS SKCH</w:t>
      </w:r>
    </w:p>
    <w:p w:rsidR="00E97C05" w:rsidRPr="00A6323E" w:rsidRDefault="00E97C05" w:rsidP="00E97C05">
      <w:pPr>
        <w:numPr>
          <w:ilvl w:val="0"/>
          <w:numId w:val="23"/>
        </w:numPr>
        <w:spacing w:before="0"/>
        <w:contextualSpacing/>
        <w:jc w:val="left"/>
        <w:rPr>
          <w:rFonts w:ascii="Times New Roman" w:hAnsi="Times New Roman" w:cs="Times New Roman"/>
          <w:sz w:val="20"/>
          <w:szCs w:val="22"/>
        </w:rPr>
      </w:pPr>
      <w:r w:rsidRPr="00A6323E">
        <w:rPr>
          <w:rFonts w:ascii="Times New Roman" w:hAnsi="Times New Roman" w:cs="Times New Roman"/>
          <w:sz w:val="20"/>
          <w:szCs w:val="22"/>
        </w:rPr>
        <w:t xml:space="preserve">Rozvoj a </w:t>
      </w:r>
      <w:r w:rsidR="00A6323E">
        <w:rPr>
          <w:rFonts w:ascii="Times New Roman" w:hAnsi="Times New Roman" w:cs="Times New Roman"/>
          <w:sz w:val="20"/>
          <w:szCs w:val="22"/>
        </w:rPr>
        <w:t xml:space="preserve">podpora stávajícího potenciálu území </w:t>
      </w:r>
      <w:r w:rsidRPr="00A6323E">
        <w:rPr>
          <w:rFonts w:ascii="Times New Roman" w:hAnsi="Times New Roman" w:cs="Times New Roman"/>
          <w:sz w:val="20"/>
          <w:szCs w:val="22"/>
        </w:rPr>
        <w:t>(např. využití stávajících objektů a zařízení)</w:t>
      </w:r>
    </w:p>
    <w:p w:rsidR="00E97C05" w:rsidRPr="00A6323E" w:rsidRDefault="00E97C05" w:rsidP="00E97C05">
      <w:pPr>
        <w:numPr>
          <w:ilvl w:val="0"/>
          <w:numId w:val="23"/>
        </w:numPr>
        <w:spacing w:before="0"/>
        <w:contextualSpacing/>
        <w:jc w:val="left"/>
        <w:rPr>
          <w:rFonts w:ascii="Times New Roman" w:hAnsi="Times New Roman" w:cs="Times New Roman"/>
          <w:sz w:val="20"/>
          <w:szCs w:val="22"/>
        </w:rPr>
      </w:pPr>
      <w:r w:rsidRPr="00A6323E">
        <w:rPr>
          <w:rFonts w:ascii="Times New Roman" w:hAnsi="Times New Roman" w:cs="Times New Roman"/>
          <w:sz w:val="20"/>
          <w:szCs w:val="22"/>
        </w:rPr>
        <w:t>Zaměření dopadu projektu na ženy v aktivním věku, nebo osoby ohrožené sociálním vyloučením</w:t>
      </w:r>
    </w:p>
    <w:p w:rsidR="00E97C05" w:rsidRPr="00A6323E" w:rsidRDefault="00A6323E" w:rsidP="00E97C05">
      <w:pPr>
        <w:numPr>
          <w:ilvl w:val="0"/>
          <w:numId w:val="23"/>
        </w:numPr>
        <w:spacing w:before="0"/>
        <w:contextualSpacing/>
        <w:jc w:val="left"/>
        <w:rPr>
          <w:rFonts w:ascii="Times New Roman" w:hAnsi="Times New Roman" w:cs="Times New Roman"/>
          <w:sz w:val="20"/>
          <w:szCs w:val="22"/>
        </w:rPr>
      </w:pPr>
      <w:r>
        <w:rPr>
          <w:rFonts w:ascii="Times New Roman" w:hAnsi="Times New Roman" w:cs="Times New Roman"/>
          <w:sz w:val="20"/>
          <w:szCs w:val="22"/>
        </w:rPr>
        <w:t xml:space="preserve">Návaznost na další </w:t>
      </w:r>
      <w:r w:rsidR="00E97C05" w:rsidRPr="00A6323E">
        <w:rPr>
          <w:rFonts w:ascii="Times New Roman" w:hAnsi="Times New Roman" w:cs="Times New Roman"/>
          <w:sz w:val="20"/>
          <w:szCs w:val="22"/>
        </w:rPr>
        <w:t xml:space="preserve">opatření ve strategii CLLD, nebo na již realizované projekty či záměry jiných subjektů </w:t>
      </w:r>
    </w:p>
    <w:p w:rsidR="00E97C05" w:rsidRPr="00A6323E" w:rsidRDefault="00E97C05" w:rsidP="00E97C05">
      <w:pPr>
        <w:numPr>
          <w:ilvl w:val="0"/>
          <w:numId w:val="23"/>
        </w:numPr>
        <w:spacing w:before="0"/>
        <w:contextualSpacing/>
        <w:jc w:val="left"/>
        <w:rPr>
          <w:rFonts w:ascii="Times New Roman" w:hAnsi="Times New Roman" w:cs="Times New Roman"/>
          <w:sz w:val="20"/>
          <w:szCs w:val="22"/>
        </w:rPr>
      </w:pPr>
      <w:r w:rsidRPr="00A6323E">
        <w:rPr>
          <w:rFonts w:ascii="Times New Roman" w:hAnsi="Times New Roman" w:cs="Times New Roman"/>
          <w:sz w:val="20"/>
          <w:szCs w:val="22"/>
        </w:rPr>
        <w:t>Projekt má pozitivní vliv na životní prostředí, 3E</w:t>
      </w:r>
    </w:p>
    <w:p w:rsidR="00E97C05" w:rsidRPr="00A6323E" w:rsidRDefault="00E97C05" w:rsidP="00E97C05">
      <w:pPr>
        <w:numPr>
          <w:ilvl w:val="0"/>
          <w:numId w:val="23"/>
        </w:numPr>
        <w:spacing w:before="0"/>
        <w:contextualSpacing/>
        <w:jc w:val="left"/>
        <w:rPr>
          <w:rFonts w:ascii="Times New Roman" w:hAnsi="Times New Roman" w:cs="Times New Roman"/>
          <w:sz w:val="20"/>
          <w:szCs w:val="22"/>
        </w:rPr>
      </w:pPr>
      <w:r w:rsidRPr="00A6323E">
        <w:rPr>
          <w:rFonts w:ascii="Times New Roman" w:hAnsi="Times New Roman" w:cs="Times New Roman"/>
          <w:sz w:val="20"/>
          <w:szCs w:val="22"/>
        </w:rPr>
        <w:t>Propagace přínosu projektu (na základě nepovinné přílohy) a spolupráce s MAS</w:t>
      </w:r>
    </w:p>
    <w:p w:rsidR="00E97C05" w:rsidRDefault="00A6323E" w:rsidP="00A6323E">
      <w:pPr>
        <w:spacing w:before="0" w:after="160" w:line="259" w:lineRule="auto"/>
        <w:ind w:firstLine="0"/>
        <w:jc w:val="left"/>
      </w:pPr>
      <w:r>
        <w:br w:type="page"/>
      </w:r>
    </w:p>
    <w:tbl>
      <w:tblPr>
        <w:tblStyle w:val="Svtlmkazvraznn6"/>
        <w:tblW w:w="0" w:type="auto"/>
        <w:tblLook w:val="04A0" w:firstRow="1" w:lastRow="0" w:firstColumn="1" w:lastColumn="0" w:noHBand="0" w:noVBand="1"/>
      </w:tblPr>
      <w:tblGrid>
        <w:gridCol w:w="2093"/>
        <w:gridCol w:w="1134"/>
        <w:gridCol w:w="1984"/>
        <w:gridCol w:w="851"/>
        <w:gridCol w:w="992"/>
        <w:gridCol w:w="992"/>
        <w:gridCol w:w="993"/>
        <w:gridCol w:w="18"/>
      </w:tblGrid>
      <w:tr w:rsidR="00A22347" w:rsidRPr="00DF742C" w:rsidTr="00B02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A22347" w:rsidRPr="00DF742C" w:rsidRDefault="00A22347" w:rsidP="00A560CE">
            <w:pPr>
              <w:ind w:firstLine="0"/>
              <w:jc w:val="left"/>
              <w:rPr>
                <w:rFonts w:ascii="Times New Roman" w:hAnsi="Times New Roman" w:cs="Times New Roman"/>
                <w:sz w:val="20"/>
                <w:szCs w:val="20"/>
              </w:rPr>
            </w:pPr>
            <w:r w:rsidRPr="00DF742C">
              <w:rPr>
                <w:rFonts w:ascii="Times New Roman" w:hAnsi="Times New Roman" w:cs="Times New Roman"/>
                <w:sz w:val="20"/>
                <w:szCs w:val="20"/>
              </w:rPr>
              <w:lastRenderedPageBreak/>
              <w:t xml:space="preserve">Název opatření </w:t>
            </w:r>
            <w:r w:rsidR="00A560CE">
              <w:rPr>
                <w:rFonts w:ascii="Times New Roman" w:hAnsi="Times New Roman" w:cs="Times New Roman"/>
                <w:sz w:val="20"/>
                <w:szCs w:val="20"/>
              </w:rPr>
              <w:t xml:space="preserve"> </w:t>
            </w:r>
            <w:r w:rsidR="009602B2">
              <w:rPr>
                <w:rFonts w:ascii="Times New Roman" w:hAnsi="Times New Roman" w:cs="Times New Roman"/>
                <w:sz w:val="20"/>
                <w:szCs w:val="20"/>
              </w:rPr>
              <w:t>SCLLD</w:t>
            </w:r>
          </w:p>
        </w:tc>
        <w:tc>
          <w:tcPr>
            <w:tcW w:w="6964" w:type="dxa"/>
            <w:gridSpan w:val="7"/>
            <w:shd w:val="clear" w:color="auto" w:fill="E2EFD9" w:themeFill="accent6" w:themeFillTint="33"/>
          </w:tcPr>
          <w:p w:rsidR="005379E4" w:rsidRPr="00E97C05" w:rsidRDefault="005379E4" w:rsidP="004D5AA1">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97C05">
              <w:rPr>
                <w:rFonts w:ascii="Times New Roman" w:hAnsi="Times New Roman" w:cs="Times New Roman"/>
                <w:szCs w:val="20"/>
              </w:rPr>
              <w:t>Bezpečnost, odolnost a připravenost regionu - podmínka rozvoje</w:t>
            </w:r>
          </w:p>
        </w:tc>
      </w:tr>
      <w:tr w:rsidR="00A22347" w:rsidRPr="00DF742C" w:rsidTr="00B02459">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A22347" w:rsidRPr="00DF742C" w:rsidRDefault="00A560CE" w:rsidP="00453A0A">
            <w:pPr>
              <w:ind w:firstLine="0"/>
              <w:jc w:val="left"/>
              <w:rPr>
                <w:rFonts w:ascii="Times New Roman" w:hAnsi="Times New Roman" w:cs="Times New Roman"/>
                <w:sz w:val="20"/>
                <w:szCs w:val="20"/>
              </w:rPr>
            </w:pPr>
            <w:r w:rsidRPr="00DF742C">
              <w:rPr>
                <w:rFonts w:ascii="Times New Roman" w:hAnsi="Times New Roman" w:cs="Times New Roman"/>
                <w:sz w:val="20"/>
                <w:szCs w:val="20"/>
              </w:rPr>
              <w:t>Vazba na specifický cíl</w:t>
            </w:r>
            <w:r>
              <w:rPr>
                <w:rFonts w:ascii="Times New Roman" w:hAnsi="Times New Roman" w:cs="Times New Roman"/>
                <w:sz w:val="20"/>
                <w:szCs w:val="20"/>
              </w:rPr>
              <w:t xml:space="preserve"> </w:t>
            </w:r>
            <w:r w:rsidRPr="00DF742C">
              <w:rPr>
                <w:rFonts w:ascii="Times New Roman" w:hAnsi="Times New Roman" w:cs="Times New Roman"/>
                <w:sz w:val="20"/>
                <w:szCs w:val="20"/>
              </w:rPr>
              <w:t>SCLLD</w:t>
            </w:r>
          </w:p>
        </w:tc>
        <w:tc>
          <w:tcPr>
            <w:tcW w:w="6964" w:type="dxa"/>
            <w:gridSpan w:val="7"/>
            <w:shd w:val="clear" w:color="auto" w:fill="E2EFD9" w:themeFill="accent6" w:themeFillTint="33"/>
          </w:tcPr>
          <w:p w:rsidR="00A22347" w:rsidRPr="00E97C05" w:rsidRDefault="00A560CE" w:rsidP="004D5AA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97C05">
              <w:rPr>
                <w:rFonts w:ascii="Times New Roman" w:hAnsi="Times New Roman" w:cs="Times New Roman"/>
                <w:b/>
                <w:sz w:val="20"/>
                <w:szCs w:val="20"/>
              </w:rPr>
              <w:t xml:space="preserve">Specifický cíl: 1.2 </w:t>
            </w:r>
            <w:r w:rsidRPr="00E97C05">
              <w:rPr>
                <w:rFonts w:ascii="Times New Roman" w:hAnsi="Times New Roman" w:cs="Times New Roman"/>
                <w:b/>
                <w:bCs/>
                <w:sz w:val="20"/>
                <w:szCs w:val="20"/>
              </w:rPr>
              <w:t>Posílit prevenci proti ekologickým katastrofám</w:t>
            </w:r>
          </w:p>
        </w:tc>
      </w:tr>
      <w:tr w:rsidR="00A22347" w:rsidRPr="00DF742C" w:rsidTr="00B024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A22347" w:rsidRPr="00DF742C" w:rsidRDefault="00A560CE" w:rsidP="00A560CE">
            <w:pPr>
              <w:ind w:firstLine="0"/>
              <w:jc w:val="left"/>
              <w:rPr>
                <w:rFonts w:ascii="Times New Roman" w:hAnsi="Times New Roman" w:cs="Times New Roman"/>
                <w:sz w:val="20"/>
                <w:szCs w:val="20"/>
              </w:rPr>
            </w:pPr>
            <w:r w:rsidRPr="00DF742C">
              <w:rPr>
                <w:rFonts w:ascii="Times New Roman" w:hAnsi="Times New Roman" w:cs="Times New Roman"/>
                <w:sz w:val="20"/>
                <w:szCs w:val="20"/>
              </w:rPr>
              <w:t>Vazba na specifický cíl IROP</w:t>
            </w:r>
          </w:p>
        </w:tc>
        <w:tc>
          <w:tcPr>
            <w:tcW w:w="6964" w:type="dxa"/>
            <w:gridSpan w:val="7"/>
            <w:shd w:val="clear" w:color="auto" w:fill="E2EFD9" w:themeFill="accent6" w:themeFillTint="33"/>
          </w:tcPr>
          <w:p w:rsidR="00C2227F" w:rsidRPr="00E97C05" w:rsidRDefault="00C2227F" w:rsidP="004D5AA1">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E97C05">
              <w:rPr>
                <w:rFonts w:ascii="Times New Roman" w:hAnsi="Times New Roman" w:cs="Times New Roman"/>
                <w:b/>
                <w:sz w:val="20"/>
                <w:szCs w:val="20"/>
              </w:rPr>
              <w:t>4.1 Posílení komunitně vedeného místního rozvoje za účelem zvýšení kvality života ve venkovských oblastech a aktivizace místního potenciálu</w:t>
            </w:r>
          </w:p>
          <w:p w:rsidR="00A560CE" w:rsidRPr="00EB5805" w:rsidRDefault="00A560CE" w:rsidP="004D5AA1">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E97C05">
              <w:rPr>
                <w:rFonts w:ascii="Times New Roman" w:hAnsi="Times New Roman" w:cs="Times New Roman"/>
                <w:b/>
                <w:sz w:val="20"/>
                <w:szCs w:val="20"/>
              </w:rPr>
              <w:t>1.3 Zvýšení připravenosti k řešení a řízení rizik a katastrof</w:t>
            </w:r>
          </w:p>
        </w:tc>
      </w:tr>
      <w:tr w:rsidR="00A22347" w:rsidRPr="00DF742C" w:rsidTr="00B02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A22347" w:rsidRPr="00DF742C" w:rsidRDefault="00EF1EB8" w:rsidP="00453A0A">
            <w:pPr>
              <w:ind w:firstLine="0"/>
              <w:jc w:val="left"/>
              <w:rPr>
                <w:rFonts w:ascii="Times New Roman" w:hAnsi="Times New Roman" w:cs="Times New Roman"/>
                <w:sz w:val="20"/>
                <w:szCs w:val="20"/>
              </w:rPr>
            </w:pPr>
            <w:r>
              <w:rPr>
                <w:rFonts w:ascii="Times New Roman" w:hAnsi="Times New Roman" w:cs="Times New Roman"/>
                <w:sz w:val="20"/>
                <w:szCs w:val="20"/>
              </w:rPr>
              <w:t xml:space="preserve">Popis opatření </w:t>
            </w:r>
          </w:p>
        </w:tc>
        <w:tc>
          <w:tcPr>
            <w:tcW w:w="6964" w:type="dxa"/>
            <w:gridSpan w:val="7"/>
            <w:shd w:val="clear" w:color="auto" w:fill="auto"/>
          </w:tcPr>
          <w:p w:rsidR="006914D4" w:rsidRDefault="006914D4" w:rsidP="004D5AA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 území MAS jsou ve většině obcí</w:t>
            </w:r>
            <w:r w:rsidRPr="006914D4">
              <w:rPr>
                <w:rFonts w:ascii="Times New Roman" w:hAnsi="Times New Roman" w:cs="Times New Roman"/>
                <w:sz w:val="20"/>
                <w:szCs w:val="20"/>
              </w:rPr>
              <w:t xml:space="preserve"> zřízeny Sbory dobrovolných hasičů, které doplňují práce profesionálních hasičů z centrální stanice v Chrudimi</w:t>
            </w:r>
            <w:r>
              <w:rPr>
                <w:rFonts w:ascii="Times New Roman" w:hAnsi="Times New Roman" w:cs="Times New Roman"/>
                <w:sz w:val="20"/>
                <w:szCs w:val="20"/>
              </w:rPr>
              <w:t xml:space="preserve">. </w:t>
            </w:r>
            <w:r w:rsidRPr="006914D4">
              <w:rPr>
                <w:rFonts w:ascii="Times New Roman" w:hAnsi="Times New Roman" w:cs="Times New Roman"/>
                <w:sz w:val="20"/>
                <w:szCs w:val="20"/>
              </w:rPr>
              <w:t>Z výčtu možných zásahů SDH lze vypozorovat regionální klimatickou změnu, která zapříčiňuje vznik problematických situací</w:t>
            </w:r>
            <w:r>
              <w:rPr>
                <w:rFonts w:ascii="Times New Roman" w:hAnsi="Times New Roman" w:cs="Times New Roman"/>
                <w:sz w:val="20"/>
                <w:szCs w:val="20"/>
              </w:rPr>
              <w:t xml:space="preserve">. </w:t>
            </w:r>
            <w:r w:rsidRPr="006914D4">
              <w:rPr>
                <w:rFonts w:ascii="Times New Roman" w:hAnsi="Times New Roman" w:cs="Times New Roman"/>
                <w:sz w:val="20"/>
                <w:szCs w:val="20"/>
              </w:rPr>
              <w:t>Při zjišťování stavu technické vybavenosti a schopnosti této vybaven</w:t>
            </w:r>
            <w:r>
              <w:rPr>
                <w:rFonts w:ascii="Times New Roman" w:hAnsi="Times New Roman" w:cs="Times New Roman"/>
                <w:sz w:val="20"/>
                <w:szCs w:val="20"/>
              </w:rPr>
              <w:t>osti bylo odhaleno, že byť hasi</w:t>
            </w:r>
            <w:r w:rsidRPr="006914D4">
              <w:rPr>
                <w:rFonts w:ascii="Times New Roman" w:hAnsi="Times New Roman" w:cs="Times New Roman"/>
                <w:sz w:val="20"/>
                <w:szCs w:val="20"/>
              </w:rPr>
              <w:t>či mají agregáty, dýchací přístroje, hasičská vozidla či cisterny apod., je jejich schopnost využití nízká, neboť se nacházejí v zastaralém či poškozeném stavu a nejsou finance na jejich zlepšení resp. obnovu.</w:t>
            </w:r>
          </w:p>
          <w:p w:rsidR="006914D4" w:rsidRPr="00DF742C" w:rsidRDefault="006914D4" w:rsidP="004D5AA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Ve vazbě na změny klimatu </w:t>
            </w:r>
            <w:r w:rsidRPr="006914D4">
              <w:rPr>
                <w:rFonts w:ascii="Times New Roman" w:hAnsi="Times New Roman" w:cs="Times New Roman"/>
                <w:sz w:val="20"/>
                <w:szCs w:val="20"/>
              </w:rPr>
              <w:t>jako jsou přívalové a dlouhotrvající intenzivní srážky, nadprůměrné sněhové srážky, masivní námrazy, povodně, déletrvající sucha, vichřice, sesuvy, rozsáhlé požáry či mimořádné události antropogenního původu</w:t>
            </w:r>
            <w:r>
              <w:rPr>
                <w:rFonts w:ascii="Times New Roman" w:hAnsi="Times New Roman" w:cs="Times New Roman"/>
                <w:sz w:val="20"/>
                <w:szCs w:val="20"/>
              </w:rPr>
              <w:t xml:space="preserve"> je potřebné, aby byla posílena vybavenost a odolnost infrastruktury základních složek IZS, její soběstačnost a specializované technické a technologické prostředky. </w:t>
            </w:r>
          </w:p>
        </w:tc>
      </w:tr>
      <w:tr w:rsidR="00A22347" w:rsidRPr="00DF742C" w:rsidTr="00B024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A22347" w:rsidRPr="00DF742C" w:rsidRDefault="0031596A" w:rsidP="00453A0A">
            <w:pPr>
              <w:ind w:firstLine="0"/>
              <w:jc w:val="left"/>
              <w:rPr>
                <w:rFonts w:ascii="Times New Roman" w:hAnsi="Times New Roman" w:cs="Times New Roman"/>
                <w:sz w:val="20"/>
                <w:szCs w:val="20"/>
              </w:rPr>
            </w:pPr>
            <w:r>
              <w:rPr>
                <w:rFonts w:ascii="Times New Roman" w:hAnsi="Times New Roman" w:cs="Times New Roman"/>
                <w:sz w:val="20"/>
                <w:szCs w:val="20"/>
              </w:rPr>
              <w:t>Oprávnění příjemci podpory</w:t>
            </w:r>
            <w:r w:rsidR="00A22347" w:rsidRPr="00DF742C">
              <w:rPr>
                <w:rFonts w:ascii="Times New Roman" w:hAnsi="Times New Roman" w:cs="Times New Roman"/>
                <w:sz w:val="20"/>
                <w:szCs w:val="20"/>
              </w:rPr>
              <w:t xml:space="preserve"> </w:t>
            </w:r>
          </w:p>
        </w:tc>
        <w:tc>
          <w:tcPr>
            <w:tcW w:w="6964" w:type="dxa"/>
            <w:gridSpan w:val="7"/>
            <w:shd w:val="clear" w:color="auto" w:fill="auto"/>
          </w:tcPr>
          <w:p w:rsidR="006914D4" w:rsidRDefault="006914D4"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914D4">
              <w:rPr>
                <w:rFonts w:ascii="Times New Roman" w:hAnsi="Times New Roman" w:cs="Times New Roman"/>
                <w:sz w:val="20"/>
                <w:szCs w:val="20"/>
              </w:rPr>
              <w:t>MV – Generální ředitelství HZS ČR</w:t>
            </w:r>
          </w:p>
          <w:p w:rsidR="006914D4" w:rsidRDefault="006914D4"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914D4">
              <w:rPr>
                <w:rFonts w:ascii="Times New Roman" w:hAnsi="Times New Roman" w:cs="Times New Roman"/>
                <w:sz w:val="20"/>
                <w:szCs w:val="20"/>
              </w:rPr>
              <w:t>HZS krajů</w:t>
            </w:r>
          </w:p>
          <w:p w:rsidR="006914D4" w:rsidRDefault="006914D4"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914D4">
              <w:rPr>
                <w:rFonts w:ascii="Times New Roman" w:hAnsi="Times New Roman" w:cs="Times New Roman"/>
                <w:sz w:val="20"/>
                <w:szCs w:val="20"/>
              </w:rPr>
              <w:t>Záchranný útvar HZS ČR</w:t>
            </w:r>
          </w:p>
          <w:p w:rsidR="00AE2A49" w:rsidRDefault="006914D4"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914D4">
              <w:rPr>
                <w:rFonts w:ascii="Times New Roman" w:hAnsi="Times New Roman" w:cs="Times New Roman"/>
                <w:sz w:val="20"/>
                <w:szCs w:val="20"/>
              </w:rPr>
              <w:t>obce, které zřizují jednotky požární ochrany (§ 29 zákona č. 133/1985 Sb., o požární ochraně) – jednotky sboru dobrovolných hasičů kategorie II a III (podle přílohy zákona o požární ochraně)</w:t>
            </w:r>
          </w:p>
          <w:p w:rsidR="00AE2A49" w:rsidRDefault="006914D4"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Policejní prezidium ČR</w:t>
            </w:r>
          </w:p>
          <w:p w:rsidR="00AE2A49" w:rsidRDefault="006914D4"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krajská ředitelství Policie ČR</w:t>
            </w:r>
          </w:p>
          <w:p w:rsidR="00AE2A49" w:rsidRDefault="006914D4"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kraje (kromě hl. m. Prahy) jako zřizovatelé zdravotnické záchranné služby krajů</w:t>
            </w:r>
          </w:p>
          <w:p w:rsidR="00AE2A49" w:rsidRDefault="006914D4"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organizační složky státu a jimi zřizované nebo zakládané organizace, které zajišťují vzdělávání a výcvik složek IZS</w:t>
            </w:r>
          </w:p>
          <w:p w:rsidR="00A22347" w:rsidRPr="00AE2A49" w:rsidRDefault="006914D4"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státní organizace, která zřizuje jednotku HZS podniku s územní působností</w:t>
            </w:r>
          </w:p>
        </w:tc>
      </w:tr>
      <w:tr w:rsidR="00A22347" w:rsidRPr="00DF742C" w:rsidTr="00B02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A22347" w:rsidRPr="00DF742C" w:rsidRDefault="0031596A" w:rsidP="0031596A">
            <w:pPr>
              <w:ind w:firstLine="0"/>
              <w:jc w:val="left"/>
              <w:rPr>
                <w:rFonts w:ascii="Times New Roman" w:hAnsi="Times New Roman" w:cs="Times New Roman"/>
                <w:sz w:val="20"/>
                <w:szCs w:val="20"/>
              </w:rPr>
            </w:pPr>
            <w:r>
              <w:rPr>
                <w:rFonts w:ascii="Times New Roman" w:hAnsi="Times New Roman" w:cs="Times New Roman"/>
                <w:sz w:val="20"/>
                <w:szCs w:val="20"/>
              </w:rPr>
              <w:t>Další podmínky a omezení</w:t>
            </w:r>
            <w:r w:rsidR="00A22347" w:rsidRPr="00DF742C">
              <w:rPr>
                <w:rFonts w:ascii="Times New Roman" w:hAnsi="Times New Roman" w:cs="Times New Roman"/>
                <w:sz w:val="20"/>
                <w:szCs w:val="20"/>
              </w:rPr>
              <w:t xml:space="preserve"> </w:t>
            </w:r>
          </w:p>
        </w:tc>
        <w:tc>
          <w:tcPr>
            <w:tcW w:w="6964" w:type="dxa"/>
            <w:gridSpan w:val="7"/>
            <w:shd w:val="clear" w:color="auto" w:fill="auto"/>
          </w:tcPr>
          <w:p w:rsidR="00A22347" w:rsidRPr="00DF742C" w:rsidRDefault="00AE2A49" w:rsidP="004D5AA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w:t>
            </w:r>
            <w:r w:rsidRPr="00AE2A49">
              <w:rPr>
                <w:rFonts w:ascii="Times New Roman" w:hAnsi="Times New Roman" w:cs="Times New Roman"/>
                <w:sz w:val="20"/>
                <w:szCs w:val="20"/>
              </w:rPr>
              <w:t>udou podpořeny pouze projekty nezakládající veřejnou podporu ve smyslu čl. 107 odst. 1 SFEU</w:t>
            </w:r>
            <w:r w:rsidR="000F02E0">
              <w:rPr>
                <w:rFonts w:ascii="Times New Roman" w:hAnsi="Times New Roman" w:cs="Times New Roman"/>
                <w:sz w:val="20"/>
                <w:szCs w:val="20"/>
              </w:rPr>
              <w:t>.</w:t>
            </w:r>
          </w:p>
        </w:tc>
      </w:tr>
      <w:tr w:rsidR="00AE2A49" w:rsidRPr="00DF742C" w:rsidTr="00B024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AE2A49" w:rsidRPr="00DF742C" w:rsidRDefault="00AE2A49" w:rsidP="00453A0A">
            <w:pPr>
              <w:ind w:firstLine="0"/>
              <w:jc w:val="left"/>
              <w:rPr>
                <w:rFonts w:ascii="Times New Roman" w:hAnsi="Times New Roman" w:cs="Times New Roman"/>
                <w:sz w:val="20"/>
                <w:szCs w:val="20"/>
              </w:rPr>
            </w:pPr>
            <w:r w:rsidRPr="00DF742C">
              <w:rPr>
                <w:rFonts w:ascii="Times New Roman" w:hAnsi="Times New Roman" w:cs="Times New Roman"/>
                <w:sz w:val="20"/>
                <w:szCs w:val="20"/>
              </w:rPr>
              <w:t>Minimální a maximální výše způsobilých výdajů</w:t>
            </w:r>
          </w:p>
        </w:tc>
        <w:tc>
          <w:tcPr>
            <w:tcW w:w="6964" w:type="dxa"/>
            <w:gridSpan w:val="7"/>
            <w:shd w:val="clear" w:color="auto" w:fill="auto"/>
          </w:tcPr>
          <w:p w:rsidR="00EB5805" w:rsidRDefault="00EB5805" w:rsidP="004D5AA1">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MAS předpokládá stanovení limi</w:t>
            </w:r>
            <w:r w:rsidR="00012486">
              <w:rPr>
                <w:rFonts w:ascii="Times New Roman" w:hAnsi="Times New Roman" w:cs="Times New Roman"/>
                <w:sz w:val="20"/>
                <w:szCs w:val="20"/>
              </w:rPr>
              <w:t xml:space="preserve">tů pro minimální a maximální výši celkových způsobilých výdajů od 100 000 Kč </w:t>
            </w:r>
            <w:r w:rsidR="00E97C05">
              <w:rPr>
                <w:rFonts w:ascii="Times New Roman" w:hAnsi="Times New Roman" w:cs="Times New Roman"/>
                <w:sz w:val="20"/>
                <w:szCs w:val="20"/>
              </w:rPr>
              <w:t xml:space="preserve">do 2 000 000 </w:t>
            </w:r>
            <w:r w:rsidR="00012486">
              <w:rPr>
                <w:rFonts w:ascii="Times New Roman" w:hAnsi="Times New Roman" w:cs="Times New Roman"/>
                <w:sz w:val="20"/>
                <w:szCs w:val="20"/>
              </w:rPr>
              <w:t xml:space="preserve">Kč. </w:t>
            </w:r>
          </w:p>
          <w:p w:rsidR="00AE2A49" w:rsidRPr="00DF742C" w:rsidRDefault="00AE2A49" w:rsidP="004D5AA1">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 xml:space="preserve">Minimální </w:t>
            </w:r>
            <w:r w:rsidR="00012486">
              <w:rPr>
                <w:rFonts w:ascii="Times New Roman" w:hAnsi="Times New Roman" w:cs="Times New Roman"/>
                <w:sz w:val="20"/>
                <w:szCs w:val="20"/>
              </w:rPr>
              <w:t xml:space="preserve">a maximální </w:t>
            </w:r>
            <w:r w:rsidRPr="00DF742C">
              <w:rPr>
                <w:rFonts w:ascii="Times New Roman" w:hAnsi="Times New Roman" w:cs="Times New Roman"/>
                <w:sz w:val="20"/>
                <w:szCs w:val="20"/>
              </w:rPr>
              <w:t>výše celkových způsobilých výdajů</w:t>
            </w:r>
            <w:r w:rsidR="00012486">
              <w:rPr>
                <w:rFonts w:ascii="Times New Roman" w:hAnsi="Times New Roman" w:cs="Times New Roman"/>
                <w:sz w:val="20"/>
                <w:szCs w:val="20"/>
              </w:rPr>
              <w:t xml:space="preserve"> </w:t>
            </w:r>
            <w:r w:rsidRPr="00DF742C">
              <w:rPr>
                <w:rFonts w:ascii="Times New Roman" w:hAnsi="Times New Roman" w:cs="Times New Roman"/>
                <w:sz w:val="20"/>
                <w:szCs w:val="20"/>
              </w:rPr>
              <w:t xml:space="preserve">bude stanovena až na konkrétní výzvě MAS. </w:t>
            </w:r>
          </w:p>
        </w:tc>
      </w:tr>
      <w:tr w:rsidR="00AE2A49" w:rsidRPr="00DF742C" w:rsidTr="00B02459">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AE2A49" w:rsidRPr="00DF742C" w:rsidRDefault="00AE2A49" w:rsidP="00453A0A">
            <w:pPr>
              <w:ind w:firstLine="0"/>
              <w:jc w:val="left"/>
              <w:rPr>
                <w:rFonts w:ascii="Times New Roman" w:hAnsi="Times New Roman" w:cs="Times New Roman"/>
                <w:sz w:val="20"/>
                <w:szCs w:val="20"/>
              </w:rPr>
            </w:pPr>
            <w:r w:rsidRPr="00DF742C">
              <w:rPr>
                <w:rFonts w:ascii="Times New Roman" w:hAnsi="Times New Roman" w:cs="Times New Roman"/>
                <w:sz w:val="20"/>
                <w:szCs w:val="20"/>
              </w:rPr>
              <w:t>Principy pro určení preferenčních kritérií</w:t>
            </w:r>
          </w:p>
        </w:tc>
        <w:tc>
          <w:tcPr>
            <w:tcW w:w="6964" w:type="dxa"/>
            <w:gridSpan w:val="7"/>
            <w:tcBorders>
              <w:top w:val="single" w:sz="4" w:space="0" w:color="auto"/>
              <w:left w:val="single" w:sz="4" w:space="0" w:color="auto"/>
              <w:bottom w:val="single" w:sz="4" w:space="0" w:color="auto"/>
              <w:right w:val="single" w:sz="4" w:space="0" w:color="auto"/>
            </w:tcBorders>
            <w:shd w:val="clear" w:color="auto" w:fill="auto"/>
          </w:tcPr>
          <w:p w:rsidR="00AE2A49" w:rsidRPr="00DF742C" w:rsidRDefault="00AE2A49" w:rsidP="004D5AA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Konkrétní preferenční kritéria budou nastavena vždy s výzvou MAS.</w:t>
            </w:r>
          </w:p>
          <w:p w:rsidR="00AE2A49" w:rsidRPr="00DF742C" w:rsidRDefault="00AE2A49" w:rsidP="004D5AA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Principy pro zaměření preferenčních kritérií:</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1. Zvýšení zaměstnanosti v území MAS SKCH (např. vytvoření každého nového pracovního místa)</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lastRenderedPageBreak/>
              <w:t>2. Uplatňování inovačních přístupů</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3. Uplatňování integračních přístupů</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4. Projekty se zkrácenou dobou realizace (méně než 12 měsíců) ve výzvách 2016, 2017</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5. Dopad projektu na více obcí či jejich částí na území MAS SKCH</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6. Rozvoj a podpora stávajícího potenciálu území (např. využití stávajících objektů a zařízení</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7. Zaměření dopadu projektu na ženy v aktivním věku, nebo osoby ohrožené sociálním vyloučením</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8. Návaznost na další opatření ve strategii CLLD, nebo na již realizované projekty či záměry jiných subjektů</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9. Projekt má pozitivní vliv na životní prostředí, 3E</w:t>
            </w:r>
          </w:p>
          <w:p w:rsidR="00AE2A49" w:rsidRPr="00DF742C" w:rsidRDefault="00AE2A49" w:rsidP="004D5AA1">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10. Propagace přínosu projektu (na základě nepovinné přílohy) a spolupráce s MAS</w:t>
            </w:r>
          </w:p>
        </w:tc>
      </w:tr>
      <w:tr w:rsidR="00A22347" w:rsidRPr="00DF742C" w:rsidTr="00B024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A22347" w:rsidRPr="00DF742C" w:rsidRDefault="00AE2A49" w:rsidP="00453A0A">
            <w:pPr>
              <w:ind w:firstLine="0"/>
              <w:jc w:val="left"/>
              <w:rPr>
                <w:rFonts w:ascii="Times New Roman" w:hAnsi="Times New Roman" w:cs="Times New Roman"/>
                <w:sz w:val="20"/>
                <w:szCs w:val="20"/>
              </w:rPr>
            </w:pPr>
            <w:r>
              <w:rPr>
                <w:rFonts w:ascii="Times New Roman" w:hAnsi="Times New Roman" w:cs="Times New Roman"/>
                <w:sz w:val="20"/>
                <w:szCs w:val="20"/>
              </w:rPr>
              <w:lastRenderedPageBreak/>
              <w:t>Typy projektů</w:t>
            </w:r>
          </w:p>
        </w:tc>
        <w:tc>
          <w:tcPr>
            <w:tcW w:w="6964" w:type="dxa"/>
            <w:gridSpan w:val="7"/>
            <w:shd w:val="clear" w:color="auto" w:fill="auto"/>
          </w:tcPr>
          <w:p w:rsidR="00A22347" w:rsidRPr="00AE2A49" w:rsidRDefault="00AE2A49" w:rsidP="00710A9B">
            <w:pPr>
              <w:pStyle w:val="Odstavecseseznamem"/>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u w:val="single"/>
              </w:rPr>
            </w:pPr>
            <w:r w:rsidRPr="00AE2A49">
              <w:rPr>
                <w:rFonts w:ascii="Times New Roman" w:hAnsi="Times New Roman" w:cs="Times New Roman"/>
                <w:sz w:val="20"/>
                <w:szCs w:val="20"/>
                <w:u w:val="single"/>
              </w:rPr>
              <w:t>Stavební úpravy stanice základní složky IZS ve stávající dislokaci, např.:</w:t>
            </w:r>
          </w:p>
          <w:p w:rsidR="00AE2A49" w:rsidRPr="00AE2A49" w:rsidRDefault="00AE2A49" w:rsidP="00710A9B">
            <w:pPr>
              <w:pStyle w:val="Odstavecseseznamem"/>
              <w:numPr>
                <w:ilvl w:val="1"/>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výstavba</w:t>
            </w:r>
            <w:r w:rsidRPr="00AE2A49">
              <w:rPr>
                <w:rFonts w:ascii="Times New Roman" w:hAnsi="Times New Roman" w:cs="Times New Roman"/>
                <w:sz w:val="20"/>
                <w:szCs w:val="20"/>
              </w:rPr>
              <w:t xml:space="preserve"> nových garážových prostor s cílem řádného garážování techniky, uskladnění prostředků před povětrnostními vlivy a zajištění kontinuální připravenosti techniky a prostředků k nasazení,</w:t>
            </w:r>
          </w:p>
          <w:p w:rsidR="00AE2A49" w:rsidRDefault="00AE2A49" w:rsidP="00710A9B">
            <w:pPr>
              <w:pStyle w:val="Odstavecseseznamem"/>
              <w:numPr>
                <w:ilvl w:val="1"/>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pořízení elektrocentrály pro zajištění náhradního zdroje elektrické energie pro nouzový provoz stanice.</w:t>
            </w:r>
          </w:p>
          <w:p w:rsidR="00AE2A49" w:rsidRDefault="00AE2A49" w:rsidP="00710A9B">
            <w:pPr>
              <w:pStyle w:val="Odstavecseseznamem"/>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u w:val="single"/>
              </w:rPr>
              <w:t>Posílení vybavení základních složek IZS technikou a věcnými prostředky</w:t>
            </w:r>
            <w:r w:rsidRPr="00AE2A49">
              <w:rPr>
                <w:rFonts w:ascii="Times New Roman" w:hAnsi="Times New Roman" w:cs="Times New Roman"/>
                <w:sz w:val="20"/>
                <w:szCs w:val="20"/>
              </w:rPr>
              <w:t xml:space="preserve"> k zajištění připravenosti základních složek IZS v exponovaných územích s důrazem na přizpůsobení se změnám klimatu a novým rizikům</w:t>
            </w:r>
          </w:p>
          <w:p w:rsidR="00AE2A49" w:rsidRDefault="00AE2A49" w:rsidP="00710A9B">
            <w:pPr>
              <w:pStyle w:val="Odstavecseseznamem"/>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Pořízení specializované techniky a věcných prostředků pro odstraňování důsledků nadprůměrných sněhových srážek a masivních námraz</w:t>
            </w:r>
          </w:p>
          <w:p w:rsidR="00AE2A49" w:rsidRDefault="00AE2A49" w:rsidP="00710A9B">
            <w:pPr>
              <w:pStyle w:val="Odstavecseseznamem"/>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Pořízení specializované techniky a věcných prostředků určených pro výkon činností spojených s orkány a větrnými smrštěmi</w:t>
            </w:r>
          </w:p>
          <w:p w:rsidR="00AE2A49" w:rsidRDefault="00AE2A49" w:rsidP="00710A9B">
            <w:pPr>
              <w:pStyle w:val="Odstavecseseznamem"/>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Pořízení specializované techniky a věcných prostředků určených pro výkon činností spojených s extrémním suchem</w:t>
            </w:r>
          </w:p>
          <w:p w:rsidR="00AE2A49" w:rsidRDefault="00AE2A49" w:rsidP="00710A9B">
            <w:pPr>
              <w:pStyle w:val="Odstavecseseznamem"/>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2A49">
              <w:rPr>
                <w:rFonts w:ascii="Times New Roman" w:hAnsi="Times New Roman" w:cs="Times New Roman"/>
                <w:sz w:val="20"/>
                <w:szCs w:val="20"/>
              </w:rPr>
              <w:t>Pořízení specializované techniky a věcných prostředků určených pro výkon činností v souvislosti s haváriemi spojenými s únikem nebezpečných látek</w:t>
            </w:r>
          </w:p>
          <w:p w:rsidR="000F02E0" w:rsidRPr="000F02E0" w:rsidRDefault="000F02E0" w:rsidP="004D5AA1">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u w:val="single"/>
              </w:rPr>
            </w:pPr>
            <w:r>
              <w:rPr>
                <w:rFonts w:ascii="Times New Roman" w:hAnsi="Times New Roman" w:cs="Times New Roman"/>
                <w:sz w:val="20"/>
                <w:szCs w:val="20"/>
                <w:u w:val="single"/>
              </w:rPr>
              <w:t>Příklady možných projektů: pořízení velkokapacitní cisterny, dopravního automobilu, motorové pily, plovoucího čerpadla, kalového čerpadla apod.</w:t>
            </w:r>
          </w:p>
        </w:tc>
      </w:tr>
      <w:tr w:rsidR="003D5ED8" w:rsidRPr="005D0023" w:rsidTr="00E97C05">
        <w:trPr>
          <w:gridAfter w:val="1"/>
          <w:cnfStyle w:val="000000100000" w:firstRow="0" w:lastRow="0" w:firstColumn="0" w:lastColumn="0" w:oddVBand="0" w:evenVBand="0" w:oddHBand="1" w:evenHBand="0" w:firstRowFirstColumn="0" w:firstRowLastColumn="0" w:lastRowFirstColumn="0" w:lastRowLastColumn="0"/>
          <w:wAfter w:w="18" w:type="dxa"/>
          <w:trHeight w:val="448"/>
        </w:trPr>
        <w:tc>
          <w:tcPr>
            <w:cnfStyle w:val="001000000000" w:firstRow="0" w:lastRow="0" w:firstColumn="1" w:lastColumn="0" w:oddVBand="0" w:evenVBand="0" w:oddHBand="0" w:evenHBand="0" w:firstRowFirstColumn="0" w:firstRowLastColumn="0" w:lastRowFirstColumn="0" w:lastRowLastColumn="0"/>
            <w:tcW w:w="2093" w:type="dxa"/>
            <w:vMerge w:val="restart"/>
            <w:shd w:val="clear" w:color="auto" w:fill="C5E0B3" w:themeFill="accent6" w:themeFillTint="66"/>
          </w:tcPr>
          <w:p w:rsidR="003D5ED8" w:rsidRPr="005D0023" w:rsidRDefault="003D5ED8" w:rsidP="00043B30">
            <w:pPr>
              <w:spacing w:after="0" w:line="240" w:lineRule="auto"/>
              <w:jc w:val="left"/>
              <w:rPr>
                <w:rFonts w:ascii="Times New Roman" w:hAnsi="Times New Roman" w:cs="Times New Roman"/>
                <w:sz w:val="20"/>
                <w:szCs w:val="20"/>
              </w:rPr>
            </w:pPr>
            <w:r w:rsidRPr="005D0023">
              <w:rPr>
                <w:rFonts w:ascii="Times New Roman" w:hAnsi="Times New Roman" w:cs="Times New Roman"/>
                <w:sz w:val="20"/>
                <w:szCs w:val="20"/>
              </w:rPr>
              <w:t>Výsledky</w:t>
            </w:r>
          </w:p>
        </w:tc>
        <w:tc>
          <w:tcPr>
            <w:tcW w:w="6946" w:type="dxa"/>
            <w:gridSpan w:val="6"/>
            <w:shd w:val="clear" w:color="auto" w:fill="auto"/>
          </w:tcPr>
          <w:p w:rsidR="000F0776" w:rsidRDefault="00B43166"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Indikátory vychází z programového dokumentu IRO</w:t>
            </w:r>
            <w:r w:rsidR="00D3719E">
              <w:rPr>
                <w:rFonts w:ascii="Times New Roman" w:hAnsi="Times New Roman" w:cs="Times New Roman"/>
                <w:sz w:val="20"/>
                <w:szCs w:val="20"/>
              </w:rPr>
              <w:t>P a odpovídají specifickému cíli</w:t>
            </w:r>
            <w:r>
              <w:rPr>
                <w:rFonts w:ascii="Times New Roman" w:hAnsi="Times New Roman" w:cs="Times New Roman"/>
                <w:sz w:val="20"/>
                <w:szCs w:val="20"/>
              </w:rPr>
              <w:t xml:space="preserve"> a </w:t>
            </w:r>
            <w:r w:rsidR="000F0776">
              <w:rPr>
                <w:rFonts w:ascii="Times New Roman" w:hAnsi="Times New Roman" w:cs="Times New Roman"/>
                <w:sz w:val="20"/>
                <w:szCs w:val="20"/>
              </w:rPr>
              <w:t>exponovaným územím dle přílohy č. 5 – Území vymezené pro SC 1.3.</w:t>
            </w:r>
          </w:p>
          <w:p w:rsidR="00B43166" w:rsidRDefault="00B43166"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3D5ED8" w:rsidRDefault="00B43166"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Výchozí a cílová hodnota indikátoru výsledku byla </w:t>
            </w:r>
            <w:r w:rsidR="008D2096">
              <w:rPr>
                <w:rFonts w:ascii="Times New Roman" w:hAnsi="Times New Roman" w:cs="Times New Roman"/>
                <w:sz w:val="20"/>
                <w:szCs w:val="20"/>
              </w:rPr>
              <w:t>stanovena na základě</w:t>
            </w:r>
            <w:r>
              <w:rPr>
                <w:rFonts w:ascii="Times New Roman" w:hAnsi="Times New Roman" w:cs="Times New Roman"/>
                <w:sz w:val="20"/>
                <w:szCs w:val="20"/>
              </w:rPr>
              <w:t xml:space="preserve"> Doporučení ŘO IROP</w:t>
            </w:r>
            <w:r w:rsidR="008D2096">
              <w:rPr>
                <w:rFonts w:ascii="Times New Roman" w:hAnsi="Times New Roman" w:cs="Times New Roman"/>
                <w:sz w:val="20"/>
                <w:szCs w:val="20"/>
              </w:rPr>
              <w:t xml:space="preserve"> a byla převzata </w:t>
            </w:r>
            <w:r>
              <w:rPr>
                <w:rFonts w:ascii="Times New Roman" w:hAnsi="Times New Roman" w:cs="Times New Roman"/>
                <w:sz w:val="20"/>
                <w:szCs w:val="20"/>
              </w:rPr>
              <w:t>z programového dokumentu. Datum výchozí hodnoty bylo stanoveno k 31. 12. 2014</w:t>
            </w:r>
            <w:r w:rsidR="008D2096">
              <w:rPr>
                <w:rFonts w:ascii="Times New Roman" w:hAnsi="Times New Roman" w:cs="Times New Roman"/>
                <w:sz w:val="20"/>
                <w:szCs w:val="20"/>
              </w:rPr>
              <w:t xml:space="preserve"> a cílové hodnoty k 31. 12. 2023. </w:t>
            </w:r>
          </w:p>
          <w:p w:rsidR="00F516C1" w:rsidRDefault="00F516C1"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516C1" w:rsidRDefault="00AC714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r w:rsidR="00F516C1">
              <w:rPr>
                <w:rFonts w:ascii="Times New Roman" w:hAnsi="Times New Roman" w:cs="Times New Roman"/>
                <w:sz w:val="20"/>
                <w:szCs w:val="20"/>
              </w:rPr>
              <w:t xml:space="preserve">ílová hodnota indikátorů výstupu byla stanovena na základě analýzy absorpční schopnosti </w:t>
            </w:r>
            <w:r w:rsidR="005379E4">
              <w:rPr>
                <w:rFonts w:ascii="Times New Roman" w:hAnsi="Times New Roman" w:cs="Times New Roman"/>
                <w:sz w:val="20"/>
                <w:szCs w:val="20"/>
              </w:rPr>
              <w:t>MAS SKCh</w:t>
            </w:r>
            <w:r w:rsidR="00F516C1">
              <w:rPr>
                <w:rFonts w:ascii="Times New Roman" w:hAnsi="Times New Roman" w:cs="Times New Roman"/>
                <w:sz w:val="20"/>
                <w:szCs w:val="20"/>
              </w:rPr>
              <w:t xml:space="preserve">, resp. připravenosti a schopnosti subjektů na území </w:t>
            </w:r>
            <w:r w:rsidR="00F1025E">
              <w:rPr>
                <w:rFonts w:ascii="Times New Roman" w:hAnsi="Times New Roman" w:cs="Times New Roman"/>
                <w:sz w:val="20"/>
                <w:szCs w:val="20"/>
              </w:rPr>
              <w:t>MAS předložit a zrealizovat projekty, které odpovídají dlouhodobým potřebám regionu</w:t>
            </w:r>
            <w:r w:rsidR="00A57520">
              <w:rPr>
                <w:rFonts w:ascii="Times New Roman" w:hAnsi="Times New Roman" w:cs="Times New Roman"/>
                <w:sz w:val="20"/>
                <w:szCs w:val="20"/>
              </w:rPr>
              <w:t>, d</w:t>
            </w:r>
            <w:r w:rsidR="00F1025E">
              <w:rPr>
                <w:rFonts w:ascii="Times New Roman" w:hAnsi="Times New Roman" w:cs="Times New Roman"/>
                <w:sz w:val="20"/>
                <w:szCs w:val="20"/>
              </w:rPr>
              <w:t xml:space="preserve">ále na základě komunitního projednávání a také s ohledem na </w:t>
            </w:r>
            <w:r w:rsidR="00A57520">
              <w:rPr>
                <w:rFonts w:ascii="Times New Roman" w:hAnsi="Times New Roman" w:cs="Times New Roman"/>
                <w:sz w:val="20"/>
                <w:szCs w:val="20"/>
              </w:rPr>
              <w:t xml:space="preserve">výši přidělené alokace pro programový rámec IROP. </w:t>
            </w:r>
          </w:p>
          <w:p w:rsidR="00A57520" w:rsidRDefault="00A57520"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9838B5" w:rsidRDefault="00AC714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Průměrná cena za jednotku indikátoru</w:t>
            </w:r>
            <w:r w:rsidR="009838B5">
              <w:rPr>
                <w:rFonts w:ascii="Times New Roman" w:hAnsi="Times New Roman" w:cs="Times New Roman"/>
                <w:sz w:val="20"/>
                <w:szCs w:val="20"/>
              </w:rPr>
              <w:t xml:space="preserve"> Počet nové techniky a věcných prostředků složek IZS </w:t>
            </w:r>
            <w:r>
              <w:rPr>
                <w:rFonts w:ascii="Times New Roman" w:hAnsi="Times New Roman" w:cs="Times New Roman"/>
                <w:sz w:val="20"/>
                <w:szCs w:val="20"/>
              </w:rPr>
              <w:t xml:space="preserve">byla stanovena indikativně, a to na základě analýzy absorpční kapacity území MAS na </w:t>
            </w:r>
            <w:r w:rsidR="00507F90">
              <w:rPr>
                <w:rFonts w:ascii="Times New Roman" w:hAnsi="Times New Roman" w:cs="Times New Roman"/>
                <w:sz w:val="20"/>
                <w:szCs w:val="20"/>
              </w:rPr>
              <w:t>2,16</w:t>
            </w:r>
            <w:r w:rsidRPr="009838B5">
              <w:rPr>
                <w:rFonts w:ascii="Times New Roman" w:hAnsi="Times New Roman" w:cs="Times New Roman"/>
                <w:sz w:val="20"/>
                <w:szCs w:val="20"/>
              </w:rPr>
              <w:t xml:space="preserve"> mil. Kč.</w:t>
            </w:r>
            <w:r>
              <w:rPr>
                <w:rFonts w:ascii="Times New Roman" w:hAnsi="Times New Roman" w:cs="Times New Roman"/>
                <w:sz w:val="20"/>
                <w:szCs w:val="20"/>
              </w:rPr>
              <w:t xml:space="preserve"> </w:t>
            </w:r>
          </w:p>
          <w:p w:rsidR="009838B5" w:rsidRDefault="009838B5"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Průměrná cena za jednotku indikátoru Počet nových a modernizovaných objektů sloužící složkám IZS byla stanovena </w:t>
            </w:r>
            <w:r w:rsidRPr="009838B5">
              <w:rPr>
                <w:rFonts w:ascii="Times New Roman" w:hAnsi="Times New Roman" w:cs="Times New Roman"/>
                <w:sz w:val="20"/>
                <w:szCs w:val="20"/>
              </w:rPr>
              <w:t>na základě zjištění realizovaných rekonstrukcí hasičských</w:t>
            </w:r>
            <w:r>
              <w:rPr>
                <w:rFonts w:ascii="Times New Roman" w:hAnsi="Times New Roman" w:cs="Times New Roman"/>
                <w:sz w:val="20"/>
                <w:szCs w:val="20"/>
              </w:rPr>
              <w:t xml:space="preserve"> </w:t>
            </w:r>
            <w:r w:rsidRPr="009838B5">
              <w:rPr>
                <w:rFonts w:ascii="Times New Roman" w:hAnsi="Times New Roman" w:cs="Times New Roman"/>
                <w:sz w:val="20"/>
                <w:szCs w:val="20"/>
              </w:rPr>
              <w:t>zbrojnic. Tato cena je individuální</w:t>
            </w:r>
            <w:r>
              <w:rPr>
                <w:rFonts w:ascii="Times New Roman" w:hAnsi="Times New Roman" w:cs="Times New Roman"/>
                <w:sz w:val="20"/>
                <w:szCs w:val="20"/>
              </w:rPr>
              <w:t xml:space="preserve"> a je stanovena na 1 mil. Kč.</w:t>
            </w:r>
          </w:p>
          <w:p w:rsidR="00AC7148" w:rsidRDefault="00AC714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AC7148" w:rsidRDefault="00CB259C"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Hodnota Milníku byla stanovena s ohledem na stav připravenosti potenciálních projektových záměrů na území MAS v době přípravy strategie a také v souvislosti s předpokládanou výší alokace pro výzvy MAS na rok 2016 a 2017. </w:t>
            </w:r>
          </w:p>
          <w:p w:rsidR="008D2096" w:rsidRPr="003D5ED8" w:rsidRDefault="008D2096"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D5ED8" w:rsidRPr="005D0023" w:rsidTr="00B02459">
        <w:trPr>
          <w:gridAfter w:val="1"/>
          <w:cnfStyle w:val="000000010000" w:firstRow="0" w:lastRow="0" w:firstColumn="0" w:lastColumn="0" w:oddVBand="0" w:evenVBand="0" w:oddHBand="0" w:evenHBand="1" w:firstRowFirstColumn="0" w:firstRowLastColumn="0" w:lastRowFirstColumn="0" w:lastRowLastColumn="0"/>
          <w:wAfter w:w="18" w:type="dxa"/>
          <w:trHeight w:val="448"/>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3D5ED8" w:rsidRPr="005D0023" w:rsidRDefault="003D5ED8" w:rsidP="00043B30">
            <w:pPr>
              <w:spacing w:after="0" w:line="240" w:lineRule="auto"/>
              <w:jc w:val="left"/>
              <w:rPr>
                <w:rFonts w:ascii="Times New Roman" w:hAnsi="Times New Roman" w:cs="Times New Roman"/>
                <w:sz w:val="20"/>
                <w:szCs w:val="20"/>
              </w:rPr>
            </w:pPr>
          </w:p>
        </w:tc>
        <w:tc>
          <w:tcPr>
            <w:tcW w:w="6946" w:type="dxa"/>
            <w:gridSpan w:val="6"/>
            <w:shd w:val="clear" w:color="auto" w:fill="E2EFD9" w:themeFill="accent6" w:themeFillTint="33"/>
          </w:tcPr>
          <w:p w:rsidR="003D5ED8"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p w:rsidR="003D5ED8" w:rsidRPr="00B02459"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lang w:eastAsia="cs-CZ"/>
              </w:rPr>
            </w:pPr>
            <w:r w:rsidRPr="00B02459">
              <w:rPr>
                <w:rFonts w:ascii="Times New Roman" w:hAnsi="Times New Roman" w:cs="Times New Roman"/>
                <w:b/>
                <w:sz w:val="20"/>
                <w:szCs w:val="20"/>
              </w:rPr>
              <w:t>Indikátory výsledku</w:t>
            </w:r>
          </w:p>
        </w:tc>
      </w:tr>
      <w:tr w:rsidR="003D5ED8" w:rsidRPr="005D0023" w:rsidTr="00B02459">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3D5ED8" w:rsidRPr="005D0023" w:rsidRDefault="003D5ED8" w:rsidP="00043B30">
            <w:pPr>
              <w:spacing w:before="0" w:after="0" w:line="240" w:lineRule="auto"/>
              <w:ind w:firstLine="0"/>
              <w:jc w:val="left"/>
              <w:rPr>
                <w:rFonts w:ascii="Times New Roman" w:hAnsi="Times New Roman" w:cs="Times New Roman"/>
                <w:sz w:val="20"/>
                <w:szCs w:val="20"/>
              </w:rPr>
            </w:pPr>
          </w:p>
        </w:tc>
        <w:tc>
          <w:tcPr>
            <w:tcW w:w="1134" w:type="dxa"/>
            <w:shd w:val="clear" w:color="auto" w:fill="auto"/>
          </w:tcPr>
          <w:p w:rsidR="003D5ED8" w:rsidRPr="00B02459" w:rsidRDefault="003D5ED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Kód indikátoru</w:t>
            </w:r>
          </w:p>
        </w:tc>
        <w:tc>
          <w:tcPr>
            <w:tcW w:w="1984" w:type="dxa"/>
            <w:shd w:val="clear" w:color="auto" w:fill="auto"/>
          </w:tcPr>
          <w:p w:rsidR="00872CCE" w:rsidRDefault="00872CCE"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3D5ED8" w:rsidRPr="00B02459" w:rsidRDefault="003D5ED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Název indikátoru</w:t>
            </w:r>
          </w:p>
        </w:tc>
        <w:tc>
          <w:tcPr>
            <w:tcW w:w="851" w:type="dxa"/>
            <w:shd w:val="clear" w:color="auto" w:fill="auto"/>
          </w:tcPr>
          <w:p w:rsidR="003D5ED8" w:rsidRPr="00B02459" w:rsidRDefault="003D5ED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MJ</w:t>
            </w:r>
          </w:p>
        </w:tc>
        <w:tc>
          <w:tcPr>
            <w:tcW w:w="992" w:type="dxa"/>
            <w:shd w:val="clear" w:color="auto" w:fill="auto"/>
          </w:tcPr>
          <w:p w:rsidR="003D5ED8" w:rsidRPr="00B02459" w:rsidRDefault="003D5ED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 xml:space="preserve">Výchozí hodnota </w:t>
            </w:r>
            <w:r w:rsidR="00B43166">
              <w:rPr>
                <w:rFonts w:ascii="Times New Roman" w:hAnsi="Times New Roman" w:cs="Times New Roman"/>
                <w:b/>
                <w:sz w:val="20"/>
                <w:szCs w:val="20"/>
              </w:rPr>
              <w:t>(2014)</w:t>
            </w:r>
          </w:p>
        </w:tc>
        <w:tc>
          <w:tcPr>
            <w:tcW w:w="992" w:type="dxa"/>
            <w:shd w:val="clear" w:color="auto" w:fill="auto"/>
          </w:tcPr>
          <w:p w:rsidR="003D5ED8" w:rsidRPr="00B02459" w:rsidRDefault="003D5ED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Cílová hodnota</w:t>
            </w:r>
            <w:r w:rsidR="00B43166">
              <w:rPr>
                <w:rFonts w:ascii="Times New Roman" w:hAnsi="Times New Roman" w:cs="Times New Roman"/>
                <w:b/>
                <w:sz w:val="20"/>
                <w:szCs w:val="20"/>
              </w:rPr>
              <w:t xml:space="preserve"> (2023)</w:t>
            </w:r>
          </w:p>
        </w:tc>
        <w:tc>
          <w:tcPr>
            <w:tcW w:w="993" w:type="dxa"/>
            <w:shd w:val="clear" w:color="auto" w:fill="auto"/>
          </w:tcPr>
          <w:p w:rsidR="003D5ED8" w:rsidRDefault="003D5ED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Milník</w:t>
            </w:r>
          </w:p>
          <w:p w:rsidR="00B43166" w:rsidRPr="00B02459" w:rsidRDefault="00B43166"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(2018)</w:t>
            </w:r>
          </w:p>
        </w:tc>
      </w:tr>
      <w:tr w:rsidR="003D5ED8" w:rsidRPr="005D0023" w:rsidTr="00E97C05">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3D5ED8" w:rsidRPr="005D0023" w:rsidRDefault="003D5ED8" w:rsidP="00043B30">
            <w:pPr>
              <w:spacing w:before="0" w:after="0" w:line="240" w:lineRule="auto"/>
              <w:ind w:firstLine="0"/>
              <w:jc w:val="left"/>
              <w:rPr>
                <w:rFonts w:ascii="Times New Roman" w:hAnsi="Times New Roman" w:cs="Times New Roman"/>
                <w:b w:val="0"/>
                <w:sz w:val="20"/>
                <w:szCs w:val="20"/>
              </w:rPr>
            </w:pPr>
          </w:p>
        </w:tc>
        <w:tc>
          <w:tcPr>
            <w:tcW w:w="1134" w:type="dxa"/>
            <w:shd w:val="clear" w:color="auto" w:fill="auto"/>
          </w:tcPr>
          <w:p w:rsidR="003D5ED8" w:rsidRPr="00B529A4" w:rsidRDefault="003D5ED8" w:rsidP="004D5AA1">
            <w:pPr>
              <w:pStyle w:val="Bezmezer"/>
              <w:spacing w:before="0"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529A4">
              <w:rPr>
                <w:rFonts w:ascii="Times New Roman" w:hAnsi="Times New Roman" w:cs="Times New Roman"/>
                <w:sz w:val="20"/>
                <w:szCs w:val="20"/>
              </w:rPr>
              <w:t>5 75 20</w:t>
            </w:r>
          </w:p>
        </w:tc>
        <w:tc>
          <w:tcPr>
            <w:tcW w:w="1984" w:type="dxa"/>
            <w:shd w:val="clear" w:color="auto" w:fill="auto"/>
          </w:tcPr>
          <w:p w:rsidR="003D5ED8" w:rsidRPr="004B68BB"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B68BB">
              <w:rPr>
                <w:rFonts w:ascii="Times New Roman" w:hAnsi="Times New Roman" w:cs="Times New Roman"/>
                <w:sz w:val="20"/>
                <w:szCs w:val="20"/>
              </w:rPr>
              <w:t>Počet exponovaných území s nedostatečnou připraveností složek IZS</w:t>
            </w:r>
          </w:p>
        </w:tc>
        <w:tc>
          <w:tcPr>
            <w:tcW w:w="851" w:type="dxa"/>
            <w:shd w:val="clear" w:color="auto" w:fill="auto"/>
            <w:vAlign w:val="center"/>
          </w:tcPr>
          <w:p w:rsidR="003D5ED8" w:rsidRPr="004B68BB" w:rsidRDefault="003D5E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B68BB">
              <w:rPr>
                <w:rFonts w:ascii="Times New Roman" w:hAnsi="Times New Roman" w:cs="Times New Roman"/>
                <w:sz w:val="20"/>
                <w:szCs w:val="20"/>
              </w:rPr>
              <w:t>území</w:t>
            </w:r>
          </w:p>
        </w:tc>
        <w:tc>
          <w:tcPr>
            <w:tcW w:w="992" w:type="dxa"/>
            <w:shd w:val="clear" w:color="auto" w:fill="auto"/>
            <w:vAlign w:val="center"/>
          </w:tcPr>
          <w:p w:rsidR="003D5ED8" w:rsidRPr="004B68BB" w:rsidRDefault="003D5E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108</w:t>
            </w:r>
          </w:p>
        </w:tc>
        <w:tc>
          <w:tcPr>
            <w:tcW w:w="992" w:type="dxa"/>
            <w:shd w:val="clear" w:color="auto" w:fill="auto"/>
            <w:vAlign w:val="center"/>
          </w:tcPr>
          <w:p w:rsidR="003D5ED8" w:rsidRPr="004B68BB" w:rsidRDefault="003D5E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993" w:type="dxa"/>
            <w:shd w:val="clear" w:color="auto" w:fill="auto"/>
            <w:vAlign w:val="center"/>
          </w:tcPr>
          <w:p w:rsidR="003D5ED8" w:rsidRPr="004B68BB" w:rsidRDefault="00872CCE"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3D5ED8" w:rsidRPr="005D0023" w:rsidTr="00B02459">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3D5ED8" w:rsidRPr="005D0023" w:rsidRDefault="003D5ED8" w:rsidP="00043B30">
            <w:pPr>
              <w:pStyle w:val="Bezmezer"/>
              <w:spacing w:before="0" w:after="0" w:line="240" w:lineRule="auto"/>
              <w:jc w:val="left"/>
              <w:rPr>
                <w:rFonts w:ascii="Times New Roman" w:hAnsi="Times New Roman" w:cs="Times New Roman"/>
                <w:b w:val="0"/>
                <w:sz w:val="20"/>
                <w:szCs w:val="20"/>
              </w:rPr>
            </w:pPr>
          </w:p>
        </w:tc>
        <w:tc>
          <w:tcPr>
            <w:tcW w:w="6946" w:type="dxa"/>
            <w:gridSpan w:val="6"/>
            <w:shd w:val="clear" w:color="auto" w:fill="E2EFD9" w:themeFill="accent6" w:themeFillTint="33"/>
          </w:tcPr>
          <w:p w:rsidR="003D5ED8" w:rsidRPr="004B68BB" w:rsidRDefault="003D5ED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3D5ED8" w:rsidRPr="004B68BB" w:rsidRDefault="003D5ED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cs-CZ"/>
              </w:rPr>
            </w:pPr>
            <w:r w:rsidRPr="004B68BB">
              <w:rPr>
                <w:rFonts w:ascii="Times New Roman" w:hAnsi="Times New Roman" w:cs="Times New Roman"/>
                <w:b/>
                <w:sz w:val="20"/>
                <w:szCs w:val="20"/>
              </w:rPr>
              <w:t>Indikátory výstupu</w:t>
            </w:r>
          </w:p>
        </w:tc>
      </w:tr>
      <w:tr w:rsidR="003D5ED8" w:rsidRPr="005D0023" w:rsidTr="00B02459">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3D5ED8" w:rsidRPr="005D0023" w:rsidRDefault="003D5ED8"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3D5ED8" w:rsidRPr="00B02459"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Kód indikátoru</w:t>
            </w:r>
          </w:p>
        </w:tc>
        <w:tc>
          <w:tcPr>
            <w:tcW w:w="1984" w:type="dxa"/>
            <w:shd w:val="clear" w:color="auto" w:fill="auto"/>
          </w:tcPr>
          <w:p w:rsidR="00872CCE" w:rsidRDefault="00872CCE"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p w:rsidR="003D5ED8" w:rsidRPr="00B02459"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Název indikátoru</w:t>
            </w:r>
          </w:p>
        </w:tc>
        <w:tc>
          <w:tcPr>
            <w:tcW w:w="851" w:type="dxa"/>
            <w:shd w:val="clear" w:color="auto" w:fill="auto"/>
          </w:tcPr>
          <w:p w:rsidR="003D5ED8" w:rsidRPr="00B02459"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MJ</w:t>
            </w:r>
          </w:p>
        </w:tc>
        <w:tc>
          <w:tcPr>
            <w:tcW w:w="992" w:type="dxa"/>
            <w:shd w:val="clear" w:color="auto" w:fill="auto"/>
          </w:tcPr>
          <w:p w:rsidR="003D5ED8" w:rsidRPr="00B02459"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Výchozí hodnota</w:t>
            </w:r>
            <w:r w:rsidR="00872CCE">
              <w:rPr>
                <w:rFonts w:ascii="Times New Roman" w:hAnsi="Times New Roman" w:cs="Times New Roman"/>
                <w:b/>
                <w:sz w:val="20"/>
                <w:szCs w:val="20"/>
              </w:rPr>
              <w:t xml:space="preserve"> (2015)</w:t>
            </w:r>
            <w:r w:rsidRPr="00B02459">
              <w:rPr>
                <w:rFonts w:ascii="Times New Roman" w:hAnsi="Times New Roman" w:cs="Times New Roman"/>
                <w:b/>
                <w:sz w:val="20"/>
                <w:szCs w:val="20"/>
              </w:rPr>
              <w:t xml:space="preserve"> </w:t>
            </w:r>
          </w:p>
        </w:tc>
        <w:tc>
          <w:tcPr>
            <w:tcW w:w="992" w:type="dxa"/>
            <w:shd w:val="clear" w:color="auto" w:fill="auto"/>
          </w:tcPr>
          <w:p w:rsidR="003D5ED8" w:rsidRPr="00B02459"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Cílová hodnota</w:t>
            </w:r>
            <w:r w:rsidR="00872CCE">
              <w:rPr>
                <w:rFonts w:ascii="Times New Roman" w:hAnsi="Times New Roman" w:cs="Times New Roman"/>
                <w:b/>
                <w:sz w:val="20"/>
                <w:szCs w:val="20"/>
              </w:rPr>
              <w:t xml:space="preserve"> (2023)</w:t>
            </w:r>
          </w:p>
        </w:tc>
        <w:tc>
          <w:tcPr>
            <w:tcW w:w="993" w:type="dxa"/>
            <w:shd w:val="clear" w:color="auto" w:fill="auto"/>
          </w:tcPr>
          <w:p w:rsidR="003D5ED8" w:rsidRPr="00B02459"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02459">
              <w:rPr>
                <w:rFonts w:ascii="Times New Roman" w:hAnsi="Times New Roman" w:cs="Times New Roman"/>
                <w:b/>
                <w:sz w:val="20"/>
                <w:szCs w:val="20"/>
              </w:rPr>
              <w:t>Milník</w:t>
            </w:r>
            <w:r w:rsidR="00872CCE">
              <w:rPr>
                <w:rFonts w:ascii="Times New Roman" w:hAnsi="Times New Roman" w:cs="Times New Roman"/>
                <w:b/>
                <w:sz w:val="20"/>
                <w:szCs w:val="20"/>
              </w:rPr>
              <w:t xml:space="preserve"> (2018)</w:t>
            </w:r>
          </w:p>
        </w:tc>
      </w:tr>
      <w:tr w:rsidR="003D5ED8" w:rsidRPr="005D0023" w:rsidTr="00E97C05">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3D5ED8" w:rsidRPr="005D0023" w:rsidRDefault="003D5ED8"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3D5ED8" w:rsidRPr="00B529A4" w:rsidRDefault="003D5ED8" w:rsidP="004D5AA1">
            <w:pPr>
              <w:pStyle w:val="Bezmeze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529A4">
              <w:rPr>
                <w:rFonts w:ascii="Times New Roman" w:hAnsi="Times New Roman" w:cs="Times New Roman"/>
                <w:sz w:val="20"/>
                <w:szCs w:val="20"/>
              </w:rPr>
              <w:t xml:space="preserve">5 70 01  </w:t>
            </w:r>
          </w:p>
        </w:tc>
        <w:tc>
          <w:tcPr>
            <w:tcW w:w="1984" w:type="dxa"/>
            <w:shd w:val="clear" w:color="auto" w:fill="auto"/>
          </w:tcPr>
          <w:p w:rsidR="003D5ED8" w:rsidRPr="004B68BB" w:rsidRDefault="003D5ED8" w:rsidP="004D5AA1">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68BB">
              <w:rPr>
                <w:rFonts w:ascii="Times New Roman" w:hAnsi="Times New Roman" w:cs="Times New Roman"/>
                <w:sz w:val="20"/>
                <w:szCs w:val="20"/>
              </w:rPr>
              <w:t>Počet nové techniky a věcných prostředků složek IZS</w:t>
            </w:r>
          </w:p>
        </w:tc>
        <w:tc>
          <w:tcPr>
            <w:tcW w:w="851" w:type="dxa"/>
            <w:shd w:val="clear" w:color="auto" w:fill="auto"/>
            <w:vAlign w:val="center"/>
          </w:tcPr>
          <w:p w:rsidR="003D5ED8" w:rsidRPr="004B68BB" w:rsidRDefault="003D5ED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68BB">
              <w:rPr>
                <w:rFonts w:ascii="Times New Roman" w:hAnsi="Times New Roman" w:cs="Times New Roman"/>
                <w:sz w:val="20"/>
                <w:szCs w:val="20"/>
              </w:rPr>
              <w:t>sety</w:t>
            </w:r>
          </w:p>
        </w:tc>
        <w:tc>
          <w:tcPr>
            <w:tcW w:w="992" w:type="dxa"/>
            <w:shd w:val="clear" w:color="auto" w:fill="auto"/>
            <w:vAlign w:val="center"/>
          </w:tcPr>
          <w:p w:rsidR="003D5ED8" w:rsidRPr="004B68BB" w:rsidRDefault="003D5ED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2" w:type="dxa"/>
            <w:shd w:val="clear" w:color="auto" w:fill="auto"/>
            <w:vAlign w:val="center"/>
          </w:tcPr>
          <w:p w:rsidR="003D5ED8" w:rsidRPr="004B68BB" w:rsidRDefault="009838B5"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993" w:type="dxa"/>
            <w:shd w:val="clear" w:color="auto" w:fill="auto"/>
            <w:vAlign w:val="center"/>
          </w:tcPr>
          <w:p w:rsidR="003D5ED8" w:rsidRPr="004B68BB" w:rsidRDefault="00872CCE"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3D5ED8" w:rsidRPr="005D0023" w:rsidTr="00E97C05">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3D5ED8" w:rsidRPr="005D0023" w:rsidRDefault="003D5ED8"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3D5ED8" w:rsidRPr="00B529A4" w:rsidRDefault="003D5ED8" w:rsidP="004D5AA1">
            <w:pPr>
              <w:pStyle w:val="Bezmezer"/>
              <w:spacing w:before="0"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529A4">
              <w:rPr>
                <w:rFonts w:ascii="Times New Roman" w:hAnsi="Times New Roman" w:cs="Times New Roman"/>
                <w:sz w:val="20"/>
                <w:szCs w:val="20"/>
              </w:rPr>
              <w:t xml:space="preserve">5 75 01  </w:t>
            </w:r>
          </w:p>
        </w:tc>
        <w:tc>
          <w:tcPr>
            <w:tcW w:w="1984" w:type="dxa"/>
            <w:shd w:val="clear" w:color="auto" w:fill="auto"/>
          </w:tcPr>
          <w:p w:rsidR="003D5ED8" w:rsidRPr="004B68BB" w:rsidRDefault="003D5ED8" w:rsidP="004D5AA1">
            <w:pPr>
              <w:spacing w:before="0" w:after="0"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B68BB">
              <w:rPr>
                <w:rFonts w:ascii="Times New Roman" w:hAnsi="Times New Roman" w:cs="Times New Roman"/>
                <w:sz w:val="20"/>
                <w:szCs w:val="20"/>
              </w:rPr>
              <w:t>Počet nových a modernizovaných objektů sloužících složkám IZS</w:t>
            </w:r>
          </w:p>
        </w:tc>
        <w:tc>
          <w:tcPr>
            <w:tcW w:w="851" w:type="dxa"/>
            <w:shd w:val="clear" w:color="auto" w:fill="auto"/>
            <w:vAlign w:val="center"/>
          </w:tcPr>
          <w:p w:rsidR="003D5ED8" w:rsidRPr="004B68BB" w:rsidRDefault="003D5E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B68BB">
              <w:rPr>
                <w:rFonts w:ascii="Times New Roman" w:hAnsi="Times New Roman" w:cs="Times New Roman"/>
                <w:sz w:val="20"/>
                <w:szCs w:val="20"/>
              </w:rPr>
              <w:t>objekty</w:t>
            </w:r>
          </w:p>
        </w:tc>
        <w:tc>
          <w:tcPr>
            <w:tcW w:w="992" w:type="dxa"/>
            <w:shd w:val="clear" w:color="auto" w:fill="auto"/>
            <w:vAlign w:val="center"/>
          </w:tcPr>
          <w:p w:rsidR="003D5ED8" w:rsidRPr="004B68BB" w:rsidRDefault="003D5E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2" w:type="dxa"/>
            <w:shd w:val="clear" w:color="auto" w:fill="auto"/>
            <w:vAlign w:val="center"/>
          </w:tcPr>
          <w:p w:rsidR="003D5ED8" w:rsidRPr="004B68BB" w:rsidRDefault="003D5E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993" w:type="dxa"/>
            <w:shd w:val="clear" w:color="auto" w:fill="auto"/>
            <w:vAlign w:val="center"/>
          </w:tcPr>
          <w:p w:rsidR="003D5ED8" w:rsidRPr="004B68BB" w:rsidRDefault="00CB259C"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bl>
    <w:p w:rsidR="00453A0A" w:rsidRDefault="001247AD">
      <w:pPr>
        <w:spacing w:before="0" w:after="160" w:line="259"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br w:type="page"/>
      </w:r>
    </w:p>
    <w:tbl>
      <w:tblPr>
        <w:tblStyle w:val="Svtlmkazvraznn6"/>
        <w:tblW w:w="0" w:type="auto"/>
        <w:tblLook w:val="04A0" w:firstRow="1" w:lastRow="0" w:firstColumn="1" w:lastColumn="0" w:noHBand="0" w:noVBand="1"/>
      </w:tblPr>
      <w:tblGrid>
        <w:gridCol w:w="2093"/>
        <w:gridCol w:w="1134"/>
        <w:gridCol w:w="1984"/>
        <w:gridCol w:w="1016"/>
        <w:gridCol w:w="992"/>
        <w:gridCol w:w="992"/>
        <w:gridCol w:w="993"/>
        <w:gridCol w:w="18"/>
      </w:tblGrid>
      <w:tr w:rsidR="00453A0A" w:rsidRPr="00DF742C" w:rsidTr="00E97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53A0A" w:rsidRPr="00DF742C" w:rsidRDefault="00453A0A" w:rsidP="00C2227F">
            <w:pPr>
              <w:ind w:firstLine="0"/>
              <w:jc w:val="left"/>
              <w:rPr>
                <w:rFonts w:ascii="Times New Roman" w:hAnsi="Times New Roman" w:cs="Times New Roman"/>
                <w:sz w:val="20"/>
                <w:szCs w:val="20"/>
              </w:rPr>
            </w:pPr>
            <w:r w:rsidRPr="00DF742C">
              <w:rPr>
                <w:rFonts w:ascii="Times New Roman" w:hAnsi="Times New Roman" w:cs="Times New Roman"/>
                <w:sz w:val="20"/>
                <w:szCs w:val="20"/>
              </w:rPr>
              <w:lastRenderedPageBreak/>
              <w:t xml:space="preserve">Název opatření </w:t>
            </w:r>
            <w:r w:rsidR="009602B2">
              <w:rPr>
                <w:rFonts w:ascii="Times New Roman" w:hAnsi="Times New Roman" w:cs="Times New Roman"/>
                <w:sz w:val="20"/>
                <w:szCs w:val="20"/>
              </w:rPr>
              <w:t>SCLLD</w:t>
            </w:r>
          </w:p>
        </w:tc>
        <w:tc>
          <w:tcPr>
            <w:tcW w:w="7129" w:type="dxa"/>
            <w:gridSpan w:val="7"/>
            <w:shd w:val="clear" w:color="auto" w:fill="E2EFD9" w:themeFill="accent6" w:themeFillTint="33"/>
          </w:tcPr>
          <w:p w:rsidR="007B1D68" w:rsidRPr="008E4093" w:rsidRDefault="007B1D68" w:rsidP="009602B2">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677">
              <w:rPr>
                <w:rFonts w:ascii="Times New Roman" w:hAnsi="Times New Roman" w:cs="Times New Roman"/>
                <w:szCs w:val="20"/>
              </w:rPr>
              <w:t>Sociální inkluze - cesta moderní komunity</w:t>
            </w:r>
          </w:p>
        </w:tc>
      </w:tr>
      <w:tr w:rsidR="008E4093" w:rsidRPr="00DF742C" w:rsidTr="00E97C05">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C2227F" w:rsidRPr="00DF742C" w:rsidRDefault="00C2227F" w:rsidP="00C2227F">
            <w:pPr>
              <w:ind w:firstLine="0"/>
              <w:jc w:val="left"/>
              <w:rPr>
                <w:rFonts w:ascii="Times New Roman" w:hAnsi="Times New Roman" w:cs="Times New Roman"/>
                <w:sz w:val="20"/>
                <w:szCs w:val="20"/>
              </w:rPr>
            </w:pPr>
            <w:r w:rsidRPr="00DF742C">
              <w:rPr>
                <w:rFonts w:ascii="Times New Roman" w:hAnsi="Times New Roman" w:cs="Times New Roman"/>
                <w:sz w:val="20"/>
                <w:szCs w:val="20"/>
              </w:rPr>
              <w:t>Vazba na specifický cíl</w:t>
            </w:r>
            <w:r>
              <w:rPr>
                <w:rFonts w:ascii="Times New Roman" w:hAnsi="Times New Roman" w:cs="Times New Roman"/>
                <w:sz w:val="20"/>
                <w:szCs w:val="20"/>
              </w:rPr>
              <w:t xml:space="preserve"> </w:t>
            </w:r>
            <w:r w:rsidRPr="00DF742C">
              <w:rPr>
                <w:rFonts w:ascii="Times New Roman" w:hAnsi="Times New Roman" w:cs="Times New Roman"/>
                <w:sz w:val="20"/>
                <w:szCs w:val="20"/>
              </w:rPr>
              <w:t>SCLLD</w:t>
            </w:r>
          </w:p>
        </w:tc>
        <w:tc>
          <w:tcPr>
            <w:tcW w:w="7129" w:type="dxa"/>
            <w:gridSpan w:val="7"/>
            <w:shd w:val="clear" w:color="auto" w:fill="E2EFD9" w:themeFill="accent6" w:themeFillTint="33"/>
          </w:tcPr>
          <w:p w:rsidR="008E4093" w:rsidRPr="00E97C05" w:rsidRDefault="00C2227F" w:rsidP="00DD5E22">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97C05">
              <w:rPr>
                <w:rFonts w:ascii="Times New Roman" w:hAnsi="Times New Roman" w:cs="Times New Roman"/>
                <w:b/>
                <w:sz w:val="20"/>
                <w:szCs w:val="20"/>
              </w:rPr>
              <w:t>Specifický cíl: 3.5 Budovat region zdraví (sociálního, duševního i fyzického), posilovat rozvoj terénních služeb, vytváření nových pracovních míst</w:t>
            </w:r>
          </w:p>
        </w:tc>
      </w:tr>
      <w:tr w:rsidR="008E4093" w:rsidRPr="00DF742C" w:rsidTr="00E97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8E4093" w:rsidRPr="00DF742C" w:rsidRDefault="00C2227F" w:rsidP="007B1D68">
            <w:pPr>
              <w:ind w:firstLine="0"/>
              <w:jc w:val="left"/>
              <w:rPr>
                <w:rFonts w:ascii="Times New Roman" w:hAnsi="Times New Roman" w:cs="Times New Roman"/>
                <w:sz w:val="20"/>
                <w:szCs w:val="20"/>
              </w:rPr>
            </w:pPr>
            <w:r w:rsidRPr="00DF742C">
              <w:rPr>
                <w:rFonts w:ascii="Times New Roman" w:hAnsi="Times New Roman" w:cs="Times New Roman"/>
                <w:sz w:val="20"/>
                <w:szCs w:val="20"/>
              </w:rPr>
              <w:t>Vazba na specifický cíl IROP</w:t>
            </w:r>
          </w:p>
        </w:tc>
        <w:tc>
          <w:tcPr>
            <w:tcW w:w="7129" w:type="dxa"/>
            <w:gridSpan w:val="7"/>
            <w:shd w:val="clear" w:color="auto" w:fill="E2EFD9" w:themeFill="accent6" w:themeFillTint="33"/>
          </w:tcPr>
          <w:p w:rsidR="00C2227F" w:rsidRPr="00E97C05" w:rsidRDefault="00C2227F" w:rsidP="00DD5E22">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E97C05">
              <w:rPr>
                <w:rFonts w:ascii="Times New Roman" w:hAnsi="Times New Roman" w:cs="Times New Roman"/>
                <w:b/>
                <w:sz w:val="20"/>
                <w:szCs w:val="20"/>
              </w:rPr>
              <w:t>4.1 Posílení komunitně vedeného místního rozvoje za účelem zvýšení kvality života ve venkovských oblastech a aktivizace místního potenciálu</w:t>
            </w:r>
          </w:p>
          <w:p w:rsidR="007B1D68" w:rsidRPr="00E97C05" w:rsidRDefault="00C2227F" w:rsidP="00DD5E22">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E97C05">
              <w:rPr>
                <w:rFonts w:ascii="Times New Roman" w:hAnsi="Times New Roman" w:cs="Times New Roman"/>
                <w:b/>
                <w:sz w:val="20"/>
                <w:szCs w:val="20"/>
              </w:rPr>
              <w:t>2.1 Zvýšení kvality a dostupnosti služeb vedoucí k sociální inkluzi</w:t>
            </w:r>
          </w:p>
        </w:tc>
      </w:tr>
      <w:tr w:rsidR="00453A0A" w:rsidRPr="00DF742C" w:rsidTr="00486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53A0A" w:rsidRPr="00DF742C" w:rsidRDefault="00EF1EB8" w:rsidP="00453A0A">
            <w:pPr>
              <w:ind w:firstLine="0"/>
              <w:jc w:val="left"/>
              <w:rPr>
                <w:rFonts w:ascii="Times New Roman" w:hAnsi="Times New Roman" w:cs="Times New Roman"/>
                <w:sz w:val="20"/>
                <w:szCs w:val="20"/>
              </w:rPr>
            </w:pPr>
            <w:r>
              <w:rPr>
                <w:rFonts w:ascii="Times New Roman" w:hAnsi="Times New Roman" w:cs="Times New Roman"/>
                <w:sz w:val="20"/>
                <w:szCs w:val="20"/>
              </w:rPr>
              <w:t xml:space="preserve">Popis opatření </w:t>
            </w:r>
          </w:p>
        </w:tc>
        <w:tc>
          <w:tcPr>
            <w:tcW w:w="7129" w:type="dxa"/>
            <w:gridSpan w:val="7"/>
            <w:shd w:val="clear" w:color="auto" w:fill="auto"/>
          </w:tcPr>
          <w:p w:rsidR="001247AD" w:rsidRDefault="001247AD" w:rsidP="009F701F">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Cílem opatření je </w:t>
            </w:r>
            <w:r w:rsidRPr="0059046A">
              <w:rPr>
                <w:rFonts w:ascii="Times New Roman" w:hAnsi="Times New Roman" w:cs="Times New Roman"/>
                <w:sz w:val="20"/>
                <w:szCs w:val="20"/>
              </w:rPr>
              <w:t>vyšší dostupnost a kvalita služeb, vedoucí k sociální inkluzi, snížení počtu osob sociálně vyloučených a osob ohrožených sociálním vyloučením a chudobou.</w:t>
            </w:r>
          </w:p>
          <w:p w:rsidR="009F701F" w:rsidRDefault="001247AD" w:rsidP="009F701F">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Území MAS vyplývá potřeba</w:t>
            </w:r>
            <w:r w:rsidRPr="0059046A">
              <w:rPr>
                <w:rFonts w:ascii="Times New Roman" w:hAnsi="Times New Roman" w:cs="Times New Roman"/>
                <w:sz w:val="20"/>
                <w:szCs w:val="20"/>
              </w:rPr>
              <w:t xml:space="preserve"> provázanost</w:t>
            </w:r>
            <w:r>
              <w:rPr>
                <w:rFonts w:ascii="Times New Roman" w:hAnsi="Times New Roman" w:cs="Times New Roman"/>
                <w:sz w:val="20"/>
                <w:szCs w:val="20"/>
              </w:rPr>
              <w:t xml:space="preserve">i </w:t>
            </w:r>
            <w:r w:rsidRPr="001247AD">
              <w:rPr>
                <w:rFonts w:ascii="Times New Roman" w:hAnsi="Times New Roman" w:cs="Times New Roman"/>
                <w:sz w:val="20"/>
                <w:szCs w:val="20"/>
              </w:rPr>
              <w:t>sociálních a zdravotních služeb</w:t>
            </w:r>
            <w:r>
              <w:rPr>
                <w:rFonts w:ascii="Times New Roman" w:hAnsi="Times New Roman" w:cs="Times New Roman"/>
                <w:sz w:val="20"/>
                <w:szCs w:val="20"/>
              </w:rPr>
              <w:t xml:space="preserve">, </w:t>
            </w:r>
            <w:r w:rsidRPr="001247AD">
              <w:rPr>
                <w:rFonts w:ascii="Times New Roman" w:hAnsi="Times New Roman" w:cs="Times New Roman"/>
                <w:sz w:val="20"/>
                <w:szCs w:val="20"/>
              </w:rPr>
              <w:t>neboť na území v této oblasti neexistuje efektivní platforma spolupráce</w:t>
            </w:r>
            <w:r>
              <w:rPr>
                <w:rFonts w:ascii="Times New Roman" w:hAnsi="Times New Roman" w:cs="Times New Roman"/>
                <w:sz w:val="20"/>
                <w:szCs w:val="20"/>
              </w:rPr>
              <w:t xml:space="preserve">. </w:t>
            </w:r>
            <w:r w:rsidR="009F701F" w:rsidRPr="0059046A">
              <w:rPr>
                <w:rFonts w:ascii="Times New Roman" w:hAnsi="Times New Roman" w:cs="Times New Roman"/>
                <w:sz w:val="20"/>
                <w:szCs w:val="20"/>
              </w:rPr>
              <w:t>Nízká je nabídka ambulantních</w:t>
            </w:r>
            <w:r w:rsidR="00D72451">
              <w:rPr>
                <w:rFonts w:ascii="Times New Roman" w:hAnsi="Times New Roman" w:cs="Times New Roman"/>
                <w:sz w:val="20"/>
                <w:szCs w:val="20"/>
              </w:rPr>
              <w:t xml:space="preserve"> a terénních</w:t>
            </w:r>
            <w:r w:rsidR="008E4093">
              <w:rPr>
                <w:rFonts w:ascii="Times New Roman" w:hAnsi="Times New Roman" w:cs="Times New Roman"/>
                <w:sz w:val="20"/>
                <w:szCs w:val="20"/>
              </w:rPr>
              <w:t xml:space="preserve"> služeb</w:t>
            </w:r>
            <w:r w:rsidR="00B0026B">
              <w:rPr>
                <w:rFonts w:ascii="Times New Roman" w:hAnsi="Times New Roman" w:cs="Times New Roman"/>
                <w:sz w:val="20"/>
                <w:szCs w:val="20"/>
              </w:rPr>
              <w:t xml:space="preserve"> a také absence zázemí určených pro setkávání místních obyvatel (komunitní, sociální, vzdělávací apod.) </w:t>
            </w:r>
            <w:r w:rsidR="00B0026B" w:rsidRPr="0059046A">
              <w:rPr>
                <w:rFonts w:ascii="Times New Roman" w:hAnsi="Times New Roman" w:cs="Times New Roman"/>
                <w:sz w:val="20"/>
                <w:szCs w:val="20"/>
              </w:rPr>
              <w:t>v přirozeném prostředí osob</w:t>
            </w:r>
            <w:r w:rsidR="00B0026B">
              <w:rPr>
                <w:rFonts w:ascii="Times New Roman" w:hAnsi="Times New Roman" w:cs="Times New Roman"/>
                <w:sz w:val="20"/>
                <w:szCs w:val="20"/>
              </w:rPr>
              <w:t>.</w:t>
            </w:r>
            <w:r w:rsidR="00B0026B" w:rsidRPr="0059046A">
              <w:rPr>
                <w:rFonts w:ascii="Times New Roman" w:hAnsi="Times New Roman" w:cs="Times New Roman"/>
                <w:sz w:val="20"/>
                <w:szCs w:val="20"/>
              </w:rPr>
              <w:t xml:space="preserve"> Relativně malou podporu mají také např. rodinní příslušníci při dlouhodobé péči o tyto nemocné a velmi složitá situace nastává při jejich snaze opětovně se zařadit do pracovního procesu</w:t>
            </w:r>
            <w:r w:rsidR="00B0026B">
              <w:rPr>
                <w:rFonts w:ascii="Times New Roman" w:hAnsi="Times New Roman" w:cs="Times New Roman"/>
                <w:sz w:val="20"/>
                <w:szCs w:val="20"/>
              </w:rPr>
              <w:t>.</w:t>
            </w:r>
            <w:r w:rsidR="00760166">
              <w:rPr>
                <w:rFonts w:ascii="Times New Roman" w:hAnsi="Times New Roman" w:cs="Times New Roman"/>
                <w:sz w:val="20"/>
                <w:szCs w:val="20"/>
              </w:rPr>
              <w:t xml:space="preserve"> Myšlenkou MAS je rovněž podpora sociálního bydlení pro sociálně slabé rodiny, především navýšení počtu bytů s více pokoji pro rodiny s dětmi a efektivnějšího využívání krizového bytu. </w:t>
            </w:r>
          </w:p>
          <w:p w:rsidR="00491551" w:rsidRPr="00DF742C" w:rsidRDefault="00895827" w:rsidP="0049155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Podpora bude zaměřená na </w:t>
            </w:r>
            <w:r w:rsidR="00CF3F22">
              <w:rPr>
                <w:rFonts w:ascii="Times New Roman" w:hAnsi="Times New Roman" w:cs="Times New Roman"/>
                <w:sz w:val="20"/>
                <w:szCs w:val="20"/>
              </w:rPr>
              <w:t>ambulantní</w:t>
            </w:r>
            <w:r w:rsidR="00A4259A">
              <w:rPr>
                <w:rFonts w:ascii="Times New Roman" w:hAnsi="Times New Roman" w:cs="Times New Roman"/>
                <w:sz w:val="20"/>
                <w:szCs w:val="20"/>
              </w:rPr>
              <w:t xml:space="preserve"> a </w:t>
            </w:r>
            <w:r w:rsidR="00791B71">
              <w:rPr>
                <w:rFonts w:ascii="Times New Roman" w:hAnsi="Times New Roman" w:cs="Times New Roman"/>
                <w:sz w:val="20"/>
                <w:szCs w:val="20"/>
              </w:rPr>
              <w:t xml:space="preserve">terénní </w:t>
            </w:r>
            <w:r w:rsidR="00CF3F22">
              <w:rPr>
                <w:rFonts w:ascii="Times New Roman" w:hAnsi="Times New Roman" w:cs="Times New Roman"/>
                <w:sz w:val="20"/>
                <w:szCs w:val="20"/>
              </w:rPr>
              <w:t>sociální služby</w:t>
            </w:r>
            <w:r w:rsidR="00491551">
              <w:rPr>
                <w:rFonts w:ascii="Times New Roman" w:hAnsi="Times New Roman" w:cs="Times New Roman"/>
                <w:sz w:val="20"/>
                <w:szCs w:val="20"/>
              </w:rPr>
              <w:t xml:space="preserve">, a dále na služby pobytového charakteru. V rámci plánovaných aktivit je zájem opatření zaměřit se také na </w:t>
            </w:r>
            <w:r w:rsidR="00491551" w:rsidRPr="00895827">
              <w:rPr>
                <w:rFonts w:ascii="Times New Roman" w:hAnsi="Times New Roman" w:cs="Times New Roman"/>
                <w:sz w:val="20"/>
                <w:szCs w:val="20"/>
              </w:rPr>
              <w:t>zřizování či rekonstru</w:t>
            </w:r>
            <w:r w:rsidR="00491551">
              <w:rPr>
                <w:rFonts w:ascii="Times New Roman" w:hAnsi="Times New Roman" w:cs="Times New Roman"/>
                <w:sz w:val="20"/>
                <w:szCs w:val="20"/>
              </w:rPr>
              <w:t>kce integrovaných komunitních center a podporu sociálního bydlení.</w:t>
            </w:r>
          </w:p>
        </w:tc>
      </w:tr>
      <w:tr w:rsidR="00453A0A" w:rsidRPr="00DF742C" w:rsidTr="004868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53A0A" w:rsidRPr="00DF742C" w:rsidRDefault="0031596A" w:rsidP="00453A0A">
            <w:pPr>
              <w:ind w:firstLine="0"/>
              <w:jc w:val="left"/>
              <w:rPr>
                <w:rFonts w:ascii="Times New Roman" w:hAnsi="Times New Roman" w:cs="Times New Roman"/>
                <w:sz w:val="20"/>
                <w:szCs w:val="20"/>
              </w:rPr>
            </w:pPr>
            <w:r>
              <w:rPr>
                <w:rFonts w:ascii="Times New Roman" w:hAnsi="Times New Roman" w:cs="Times New Roman"/>
                <w:sz w:val="20"/>
                <w:szCs w:val="20"/>
              </w:rPr>
              <w:t>Oprávnění příjemci podpory</w:t>
            </w:r>
            <w:r w:rsidR="00453A0A" w:rsidRPr="00DF742C">
              <w:rPr>
                <w:rFonts w:ascii="Times New Roman" w:hAnsi="Times New Roman" w:cs="Times New Roman"/>
                <w:sz w:val="20"/>
                <w:szCs w:val="20"/>
              </w:rPr>
              <w:t xml:space="preserve"> </w:t>
            </w:r>
          </w:p>
        </w:tc>
        <w:tc>
          <w:tcPr>
            <w:tcW w:w="7129" w:type="dxa"/>
            <w:gridSpan w:val="7"/>
            <w:shd w:val="clear" w:color="auto" w:fill="auto"/>
          </w:tcPr>
          <w:p w:rsidR="001247AD"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nestátní neziskové organizace</w:t>
            </w:r>
          </w:p>
          <w:p w:rsidR="001247AD"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organizační složky státu</w:t>
            </w:r>
          </w:p>
          <w:p w:rsidR="001247AD"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příspěvkové organizace organizačních složek státu</w:t>
            </w:r>
          </w:p>
          <w:p w:rsidR="001247AD"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kraje</w:t>
            </w:r>
          </w:p>
          <w:p w:rsidR="001247AD"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organizace zřizované nebo zakládané kraji</w:t>
            </w:r>
          </w:p>
          <w:p w:rsidR="001247AD"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obce</w:t>
            </w:r>
          </w:p>
          <w:p w:rsidR="001247AD"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organizace zřizované nebo zakládané obcemi</w:t>
            </w:r>
          </w:p>
          <w:p w:rsidR="001247AD"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dobrovolné svazky obcí</w:t>
            </w:r>
          </w:p>
          <w:p w:rsidR="001247AD"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organizace zřizované nebo zakládané dobrovolnými svazky obcí</w:t>
            </w:r>
          </w:p>
          <w:p w:rsidR="00D7639B"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A507F">
              <w:rPr>
                <w:rFonts w:ascii="Times New Roman" w:hAnsi="Times New Roman" w:cs="Times New Roman"/>
                <w:sz w:val="20"/>
                <w:szCs w:val="20"/>
              </w:rPr>
              <w:t>církve</w:t>
            </w:r>
          </w:p>
          <w:p w:rsidR="00453A0A" w:rsidRPr="00D7639B" w:rsidRDefault="001247AD" w:rsidP="00710A9B">
            <w:pPr>
              <w:pStyle w:val="Odstavecseseznamem"/>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7639B">
              <w:rPr>
                <w:rFonts w:ascii="Times New Roman" w:hAnsi="Times New Roman" w:cs="Times New Roman"/>
                <w:sz w:val="20"/>
                <w:szCs w:val="20"/>
              </w:rPr>
              <w:t>církevní organizace</w:t>
            </w:r>
          </w:p>
        </w:tc>
      </w:tr>
      <w:tr w:rsidR="00453A0A" w:rsidRPr="00DF742C" w:rsidTr="00486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53A0A" w:rsidRPr="00DF742C" w:rsidRDefault="0031596A" w:rsidP="0031596A">
            <w:pPr>
              <w:ind w:firstLine="0"/>
              <w:jc w:val="left"/>
              <w:rPr>
                <w:rFonts w:ascii="Times New Roman" w:hAnsi="Times New Roman" w:cs="Times New Roman"/>
                <w:sz w:val="20"/>
                <w:szCs w:val="20"/>
              </w:rPr>
            </w:pPr>
            <w:r>
              <w:rPr>
                <w:rFonts w:ascii="Times New Roman" w:hAnsi="Times New Roman" w:cs="Times New Roman"/>
                <w:sz w:val="20"/>
                <w:szCs w:val="20"/>
              </w:rPr>
              <w:t>Další podmínky a omezení</w:t>
            </w:r>
            <w:r w:rsidR="00453A0A" w:rsidRPr="00DF742C">
              <w:rPr>
                <w:rFonts w:ascii="Times New Roman" w:hAnsi="Times New Roman" w:cs="Times New Roman"/>
                <w:sz w:val="20"/>
                <w:szCs w:val="20"/>
              </w:rPr>
              <w:t xml:space="preserve"> </w:t>
            </w:r>
          </w:p>
        </w:tc>
        <w:tc>
          <w:tcPr>
            <w:tcW w:w="7129" w:type="dxa"/>
            <w:gridSpan w:val="7"/>
            <w:shd w:val="clear" w:color="auto" w:fill="auto"/>
          </w:tcPr>
          <w:p w:rsidR="00453A0A" w:rsidRDefault="00895827" w:rsidP="00453A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w:t>
            </w:r>
            <w:r w:rsidRPr="007A507F">
              <w:rPr>
                <w:rFonts w:ascii="Times New Roman" w:hAnsi="Times New Roman" w:cs="Times New Roman"/>
                <w:sz w:val="20"/>
                <w:szCs w:val="20"/>
              </w:rPr>
              <w:t>udou podporovány projekty v souladu s Rozhodnutím Komise ze dne 20. prosince 2011 o použití čl. 106 odst. 2 Smlouvy o fungování Evropské unie na státní podporu ve formě vyrovnávací platby za závazek veřejné služby udělené určitým podnikům pověřeným poskytování služeb obecného hospodářského zájmu (2012/21/EU), odstavec 11.</w:t>
            </w:r>
          </w:p>
          <w:p w:rsidR="007D4554" w:rsidRPr="00DF742C" w:rsidRDefault="007D4554" w:rsidP="00453A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9631C">
              <w:rPr>
                <w:rFonts w:ascii="Times New Roman" w:hAnsi="Times New Roman" w:cs="Times New Roman"/>
                <w:sz w:val="20"/>
                <w:szCs w:val="20"/>
              </w:rPr>
              <w:t xml:space="preserve">Podpora sociálního bydlení je určená výhradně znevýhodněným, či vyloučeným osobám. Koncept nekonkuruje soukromému sektoru nemovitostí a plně odpovídá unijní definici sociálního bydlení, jako služby obecného hospodářského zájmu, jež formulovala Komise ve sdělení ze dne 20. prosince 2011. Omezuje v něm vynětí z povinnosti oznámit pokrytí nákladů na veřejnou službu na „poskytování sociálního bydlení pro znevýhodněné občany nebo příslušníky sociálně méně zvýhodněných </w:t>
            </w:r>
            <w:r w:rsidRPr="0039631C">
              <w:rPr>
                <w:rFonts w:ascii="Times New Roman" w:hAnsi="Times New Roman" w:cs="Times New Roman"/>
                <w:sz w:val="20"/>
                <w:szCs w:val="20"/>
              </w:rPr>
              <w:lastRenderedPageBreak/>
              <w:t>skupin, kteří nejsou z důvodu omezené solventnosti schopni získat bydlení za tržních podmínek“ (SC C 44/54 Úřední věstník EU 15. 2. 2013). V rámci aktivity sociální bydlení budou taktéž podporovány projekty v souladu s nařízením č. 360/2012 ze dne 25. dubna 2012 o použití článku 107 a 108 Smlouvy o fungování Evropské unie na podporu de minimis udílenou podnikům poskytujícím služby obecného hospodářského zájmu.</w:t>
            </w:r>
          </w:p>
        </w:tc>
      </w:tr>
      <w:tr w:rsidR="00453A0A" w:rsidRPr="00DF742C" w:rsidTr="004868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53A0A" w:rsidRPr="00DF742C" w:rsidRDefault="00453A0A" w:rsidP="00453A0A">
            <w:pPr>
              <w:ind w:firstLine="0"/>
              <w:jc w:val="left"/>
              <w:rPr>
                <w:rFonts w:ascii="Times New Roman" w:hAnsi="Times New Roman" w:cs="Times New Roman"/>
                <w:sz w:val="20"/>
                <w:szCs w:val="20"/>
              </w:rPr>
            </w:pPr>
            <w:r w:rsidRPr="00DF742C">
              <w:rPr>
                <w:rFonts w:ascii="Times New Roman" w:hAnsi="Times New Roman" w:cs="Times New Roman"/>
                <w:sz w:val="20"/>
                <w:szCs w:val="20"/>
              </w:rPr>
              <w:lastRenderedPageBreak/>
              <w:t>Minimální a maximální výše způsobilých výdajů</w:t>
            </w:r>
          </w:p>
        </w:tc>
        <w:tc>
          <w:tcPr>
            <w:tcW w:w="7129" w:type="dxa"/>
            <w:gridSpan w:val="7"/>
            <w:shd w:val="clear" w:color="auto" w:fill="auto"/>
          </w:tcPr>
          <w:p w:rsidR="00C2227F" w:rsidRDefault="00C2227F" w:rsidP="00C2227F">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MAS předpokládá stanovení limitů pro minimální a maximální výši celkových způsobilých výdajů od 100 000 Kč </w:t>
            </w:r>
            <w:r w:rsidR="004F65F8">
              <w:rPr>
                <w:rFonts w:ascii="Times New Roman" w:hAnsi="Times New Roman" w:cs="Times New Roman"/>
                <w:sz w:val="20"/>
                <w:szCs w:val="20"/>
              </w:rPr>
              <w:t>do 2 5</w:t>
            </w:r>
            <w:r>
              <w:rPr>
                <w:rFonts w:ascii="Times New Roman" w:hAnsi="Times New Roman" w:cs="Times New Roman"/>
                <w:sz w:val="20"/>
                <w:szCs w:val="20"/>
              </w:rPr>
              <w:t xml:space="preserve">00 000 Kč. </w:t>
            </w:r>
          </w:p>
          <w:p w:rsidR="00453A0A" w:rsidRPr="00DF742C" w:rsidRDefault="00C2227F" w:rsidP="00453A0A">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 xml:space="preserve">Minimální </w:t>
            </w:r>
            <w:r>
              <w:rPr>
                <w:rFonts w:ascii="Times New Roman" w:hAnsi="Times New Roman" w:cs="Times New Roman"/>
                <w:sz w:val="20"/>
                <w:szCs w:val="20"/>
              </w:rPr>
              <w:t xml:space="preserve">a maximální </w:t>
            </w:r>
            <w:r w:rsidRPr="00DF742C">
              <w:rPr>
                <w:rFonts w:ascii="Times New Roman" w:hAnsi="Times New Roman" w:cs="Times New Roman"/>
                <w:sz w:val="20"/>
                <w:szCs w:val="20"/>
              </w:rPr>
              <w:t>výše celkových způsobilých výdajů</w:t>
            </w:r>
            <w:r>
              <w:rPr>
                <w:rFonts w:ascii="Times New Roman" w:hAnsi="Times New Roman" w:cs="Times New Roman"/>
                <w:sz w:val="20"/>
                <w:szCs w:val="20"/>
              </w:rPr>
              <w:t xml:space="preserve"> </w:t>
            </w:r>
            <w:r w:rsidRPr="00DF742C">
              <w:rPr>
                <w:rFonts w:ascii="Times New Roman" w:hAnsi="Times New Roman" w:cs="Times New Roman"/>
                <w:sz w:val="20"/>
                <w:szCs w:val="20"/>
              </w:rPr>
              <w:t>bude stanovena až na konkrétní výzvě MAS.</w:t>
            </w:r>
            <w:r w:rsidR="00453A0A" w:rsidRPr="00DF742C">
              <w:rPr>
                <w:rFonts w:ascii="Times New Roman" w:hAnsi="Times New Roman" w:cs="Times New Roman"/>
                <w:sz w:val="20"/>
                <w:szCs w:val="20"/>
              </w:rPr>
              <w:t xml:space="preserve"> </w:t>
            </w:r>
          </w:p>
        </w:tc>
      </w:tr>
      <w:tr w:rsidR="00453A0A" w:rsidRPr="00DF742C" w:rsidTr="00486809">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453A0A" w:rsidRPr="00DF742C" w:rsidRDefault="00453A0A" w:rsidP="00453A0A">
            <w:pPr>
              <w:ind w:firstLine="0"/>
              <w:jc w:val="left"/>
              <w:rPr>
                <w:rFonts w:ascii="Times New Roman" w:hAnsi="Times New Roman" w:cs="Times New Roman"/>
                <w:sz w:val="20"/>
                <w:szCs w:val="20"/>
              </w:rPr>
            </w:pPr>
            <w:r w:rsidRPr="00DF742C">
              <w:rPr>
                <w:rFonts w:ascii="Times New Roman" w:hAnsi="Times New Roman" w:cs="Times New Roman"/>
                <w:sz w:val="20"/>
                <w:szCs w:val="20"/>
              </w:rPr>
              <w:t>Principy pro určení preferenčních kritérií</w:t>
            </w:r>
          </w:p>
        </w:tc>
        <w:tc>
          <w:tcPr>
            <w:tcW w:w="7129" w:type="dxa"/>
            <w:gridSpan w:val="7"/>
            <w:tcBorders>
              <w:top w:val="single" w:sz="4" w:space="0" w:color="auto"/>
              <w:left w:val="single" w:sz="4" w:space="0" w:color="auto"/>
              <w:bottom w:val="single" w:sz="4" w:space="0" w:color="auto"/>
              <w:right w:val="single" w:sz="4" w:space="0" w:color="auto"/>
            </w:tcBorders>
            <w:shd w:val="clear" w:color="auto" w:fill="auto"/>
          </w:tcPr>
          <w:p w:rsidR="00453A0A" w:rsidRPr="00DF742C" w:rsidRDefault="00453A0A" w:rsidP="00453A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Konkrétní preferenční kritéria budou nastavena vždy s výzvou MAS.</w:t>
            </w:r>
          </w:p>
          <w:p w:rsidR="00453A0A" w:rsidRPr="00DF742C" w:rsidRDefault="00453A0A" w:rsidP="00453A0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Principy pro zaměření preferenčních kritérií:</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1. Zvýšení zaměstnanosti v území MAS SKCH (např. vytvoření každého nového pracovního místa)</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2. Uplatňování inovačních přístupů</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3. Uplatňování integračních přístupů</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4. Projekty se zkrácenou dobou realizace (méně než 12 měsíců) ve výzvách 2016, 2017</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5. Dopad projektu na více obcí či jejich částí na území MAS SKCH</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6. Rozvoj a podpora stávajícího potenciálu území (např. využití stávajících objektů a zařízení</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7. Zaměření dopadu projektu na ženy v aktivním věku, nebo osoby ohrožené sociálním vyloučením</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8. Návaznost na další opatření ve strategii CLLD, nebo na již realizované projekty či záměry jiných subjektů</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9. Projekt má pozitivní vliv na životní prostředí, 3E</w:t>
            </w:r>
          </w:p>
          <w:p w:rsidR="00453A0A" w:rsidRPr="00DF742C" w:rsidRDefault="00453A0A" w:rsidP="00453A0A">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10. Propagace přínosu projektu (na základě nepovinné přílohy) a spolupráce s MAS</w:t>
            </w:r>
          </w:p>
        </w:tc>
      </w:tr>
      <w:tr w:rsidR="00453A0A" w:rsidRPr="00DF742C" w:rsidTr="004868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53A0A" w:rsidRPr="00DF742C" w:rsidRDefault="00453A0A" w:rsidP="00453A0A">
            <w:pPr>
              <w:ind w:firstLine="0"/>
              <w:jc w:val="left"/>
              <w:rPr>
                <w:rFonts w:ascii="Times New Roman" w:hAnsi="Times New Roman" w:cs="Times New Roman"/>
                <w:sz w:val="20"/>
                <w:szCs w:val="20"/>
              </w:rPr>
            </w:pPr>
            <w:r>
              <w:rPr>
                <w:rFonts w:ascii="Times New Roman" w:hAnsi="Times New Roman" w:cs="Times New Roman"/>
                <w:sz w:val="20"/>
                <w:szCs w:val="20"/>
              </w:rPr>
              <w:t>Typy projektů</w:t>
            </w:r>
          </w:p>
        </w:tc>
        <w:tc>
          <w:tcPr>
            <w:tcW w:w="7129" w:type="dxa"/>
            <w:gridSpan w:val="7"/>
            <w:shd w:val="clear" w:color="auto" w:fill="auto"/>
          </w:tcPr>
          <w:p w:rsidR="00F43103" w:rsidRDefault="00F43103" w:rsidP="004F7CBE">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 </w:t>
            </w:r>
            <w:r w:rsidRPr="00F43103">
              <w:rPr>
                <w:rFonts w:ascii="Times New Roman" w:hAnsi="Times New Roman" w:cs="Times New Roman"/>
                <w:sz w:val="20"/>
                <w:szCs w:val="20"/>
              </w:rPr>
              <w:t>Deinstitucionalizace sociálních služeb za účelem sociálního začleňování a zvýšení uplatnitelnosti na trhu práce</w:t>
            </w:r>
            <w:r>
              <w:rPr>
                <w:rFonts w:ascii="Times New Roman" w:hAnsi="Times New Roman" w:cs="Times New Roman"/>
                <w:sz w:val="20"/>
                <w:szCs w:val="20"/>
              </w:rPr>
              <w:t>:</w:t>
            </w:r>
          </w:p>
          <w:p w:rsidR="00F43103" w:rsidRDefault="00F43103" w:rsidP="00710A9B">
            <w:pPr>
              <w:pStyle w:val="Odstavecseseznamem"/>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F43103">
              <w:rPr>
                <w:rFonts w:ascii="Times New Roman" w:hAnsi="Times New Roman" w:cs="Times New Roman"/>
                <w:sz w:val="20"/>
                <w:szCs w:val="20"/>
              </w:rPr>
              <w:t>výstavba, zřizování a rekonstrukce stávajících zařízení pro poskytování komunitní péče, jedná se i o pobytová zařízení</w:t>
            </w:r>
            <w:r w:rsidR="007D4554">
              <w:rPr>
                <w:rFonts w:ascii="Times New Roman" w:hAnsi="Times New Roman" w:cs="Times New Roman"/>
                <w:sz w:val="20"/>
                <w:szCs w:val="20"/>
              </w:rPr>
              <w:t xml:space="preserve"> (např. </w:t>
            </w:r>
            <w:r w:rsidR="007D4554" w:rsidRPr="00F43103">
              <w:rPr>
                <w:rFonts w:ascii="Times New Roman" w:hAnsi="Times New Roman" w:cs="Times New Roman"/>
                <w:sz w:val="20"/>
                <w:szCs w:val="20"/>
              </w:rPr>
              <w:t>domov se zvláštním režimem či domov pro</w:t>
            </w:r>
            <w:r w:rsidR="007D4554">
              <w:rPr>
                <w:rFonts w:ascii="Times New Roman" w:hAnsi="Times New Roman" w:cs="Times New Roman"/>
                <w:sz w:val="20"/>
                <w:szCs w:val="20"/>
              </w:rPr>
              <w:t xml:space="preserve"> osoby se zdravotním postižením</w:t>
            </w:r>
            <w:r w:rsidR="00486809">
              <w:rPr>
                <w:rFonts w:ascii="Times New Roman" w:hAnsi="Times New Roman" w:cs="Times New Roman"/>
                <w:sz w:val="20"/>
                <w:szCs w:val="20"/>
              </w:rPr>
              <w:t>)</w:t>
            </w:r>
          </w:p>
          <w:p w:rsidR="00F43103" w:rsidRPr="00F43103" w:rsidRDefault="00F43103" w:rsidP="00710A9B">
            <w:pPr>
              <w:pStyle w:val="Odstavecseseznamem"/>
              <w:numPr>
                <w:ilvl w:val="1"/>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F43103">
              <w:rPr>
                <w:rFonts w:ascii="Times New Roman" w:hAnsi="Times New Roman" w:cs="Times New Roman"/>
                <w:sz w:val="20"/>
                <w:szCs w:val="20"/>
              </w:rPr>
              <w:t>Součástí projektu může být rozšíření či zřízení sociálně terapeutické dílny, zaměřené na nácvik dovedností jejích uživatelů a získávání zkušeností s povinnostmi mimo domácnost</w:t>
            </w:r>
          </w:p>
          <w:p w:rsidR="004F7CBE" w:rsidRPr="00F43103" w:rsidRDefault="00F43103" w:rsidP="00F43103">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r w:rsidR="004F7CBE" w:rsidRPr="00F43103">
              <w:rPr>
                <w:rFonts w:ascii="Times New Roman" w:hAnsi="Times New Roman" w:cs="Times New Roman"/>
                <w:sz w:val="20"/>
                <w:szCs w:val="20"/>
              </w:rPr>
              <w:t xml:space="preserve">) </w:t>
            </w:r>
            <w:r w:rsidR="004F7CBE" w:rsidRPr="00F43103">
              <w:rPr>
                <w:rFonts w:ascii="Times New Roman" w:hAnsi="Times New Roman" w:cs="Times New Roman"/>
                <w:sz w:val="20"/>
                <w:szCs w:val="20"/>
                <w:u w:val="single"/>
              </w:rPr>
              <w:t>Investice do infrastruktury</w:t>
            </w:r>
            <w:r>
              <w:rPr>
                <w:rFonts w:ascii="Times New Roman" w:hAnsi="Times New Roman" w:cs="Times New Roman"/>
                <w:sz w:val="20"/>
                <w:szCs w:val="20"/>
                <w:u w:val="single"/>
              </w:rPr>
              <w:t xml:space="preserve"> pro dostupnost a rozvoj sociální</w:t>
            </w:r>
            <w:r w:rsidR="004F7CBE" w:rsidRPr="00F43103">
              <w:rPr>
                <w:rFonts w:ascii="Times New Roman" w:hAnsi="Times New Roman" w:cs="Times New Roman"/>
                <w:sz w:val="20"/>
                <w:szCs w:val="20"/>
                <w:u w:val="single"/>
              </w:rPr>
              <w:t xml:space="preserve"> služby:</w:t>
            </w:r>
          </w:p>
          <w:p w:rsidR="004F7CBE" w:rsidRDefault="004F7CBE" w:rsidP="00E97C05">
            <w:pPr>
              <w:pStyle w:val="Odstavecseseznamem"/>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420DC">
              <w:rPr>
                <w:rFonts w:ascii="Times New Roman" w:hAnsi="Times New Roman" w:cs="Times New Roman"/>
                <w:sz w:val="20"/>
                <w:szCs w:val="20"/>
              </w:rPr>
              <w:t>nákup objektů, zařízení a vybavení a stavební úpravy, které vytvoří podmínky pro kvalitní poskytování sociálních služeb</w:t>
            </w:r>
            <w:r w:rsidR="00F43103">
              <w:rPr>
                <w:rFonts w:ascii="Arial" w:eastAsiaTheme="minorHAnsi" w:hAnsi="Arial" w:cs="Arial"/>
                <w:color w:val="000000"/>
              </w:rPr>
              <w:t xml:space="preserve">, </w:t>
            </w:r>
            <w:r w:rsidR="00F43103" w:rsidRPr="00F43103">
              <w:rPr>
                <w:rFonts w:ascii="Times New Roman" w:hAnsi="Times New Roman" w:cs="Times New Roman"/>
                <w:sz w:val="20"/>
                <w:szCs w:val="20"/>
              </w:rPr>
              <w:t>obnovu a zkvalitnění materiálně-technické základny stávajících služeb sociální práce s cílovými skupinami.</w:t>
            </w:r>
          </w:p>
          <w:p w:rsidR="00F43103" w:rsidRDefault="00F43103" w:rsidP="00710A9B">
            <w:pPr>
              <w:pStyle w:val="Odstavecseseznamem"/>
              <w:numPr>
                <w:ilvl w:val="1"/>
                <w:numId w:val="1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F43103">
              <w:rPr>
                <w:rFonts w:ascii="Times New Roman" w:hAnsi="Times New Roman" w:cs="Times New Roman"/>
                <w:sz w:val="20"/>
                <w:szCs w:val="20"/>
              </w:rPr>
              <w:t xml:space="preserve">Projekty se zaměřují na vybudování zázemí pro </w:t>
            </w:r>
            <w:r w:rsidRPr="00F43103">
              <w:rPr>
                <w:rFonts w:ascii="Times New Roman" w:hAnsi="Times New Roman" w:cs="Times New Roman"/>
                <w:b/>
                <w:bCs/>
                <w:sz w:val="20"/>
                <w:szCs w:val="20"/>
              </w:rPr>
              <w:t xml:space="preserve">terénní </w:t>
            </w:r>
            <w:r w:rsidR="00486809">
              <w:rPr>
                <w:rFonts w:ascii="Times New Roman" w:hAnsi="Times New Roman" w:cs="Times New Roman"/>
                <w:b/>
                <w:bCs/>
                <w:sz w:val="20"/>
                <w:szCs w:val="20"/>
              </w:rPr>
              <w:t xml:space="preserve">a ambulantní sociální </w:t>
            </w:r>
            <w:r w:rsidRPr="00F43103">
              <w:rPr>
                <w:rFonts w:ascii="Times New Roman" w:hAnsi="Times New Roman" w:cs="Times New Roman"/>
                <w:b/>
                <w:bCs/>
                <w:sz w:val="20"/>
                <w:szCs w:val="20"/>
              </w:rPr>
              <w:t>služb</w:t>
            </w:r>
            <w:r w:rsidR="00486809">
              <w:rPr>
                <w:rFonts w:ascii="Times New Roman" w:hAnsi="Times New Roman" w:cs="Times New Roman"/>
                <w:b/>
                <w:bCs/>
                <w:sz w:val="20"/>
                <w:szCs w:val="20"/>
              </w:rPr>
              <w:t>y (</w:t>
            </w:r>
            <w:r w:rsidR="00486809">
              <w:rPr>
                <w:rFonts w:ascii="Times New Roman" w:hAnsi="Times New Roman" w:cs="Times New Roman"/>
                <w:bCs/>
                <w:sz w:val="20"/>
                <w:szCs w:val="20"/>
              </w:rPr>
              <w:t xml:space="preserve">např. </w:t>
            </w:r>
            <w:r w:rsidR="00486809">
              <w:rPr>
                <w:rFonts w:ascii="Times New Roman" w:hAnsi="Times New Roman" w:cs="Times New Roman"/>
                <w:sz w:val="20"/>
                <w:szCs w:val="20"/>
              </w:rPr>
              <w:t>rekonstrukce, vybavení stávajících prostor, výstavba</w:t>
            </w:r>
            <w:r w:rsidR="00486809" w:rsidRPr="00F71810">
              <w:rPr>
                <w:rFonts w:ascii="Times New Roman" w:hAnsi="Times New Roman" w:cs="Times New Roman"/>
                <w:sz w:val="20"/>
                <w:szCs w:val="20"/>
              </w:rPr>
              <w:t xml:space="preserve"> či nákup objektů pro realizaci stávající sociální služby v nevyhovujícím prostoru</w:t>
            </w:r>
            <w:r w:rsidR="00486809">
              <w:rPr>
                <w:rFonts w:ascii="Times New Roman" w:hAnsi="Times New Roman" w:cs="Times New Roman"/>
                <w:sz w:val="20"/>
                <w:szCs w:val="20"/>
              </w:rPr>
              <w:t>)</w:t>
            </w:r>
          </w:p>
          <w:p w:rsidR="00F71810" w:rsidRDefault="00F71810" w:rsidP="00710A9B">
            <w:pPr>
              <w:pStyle w:val="Odstavecseseznamem"/>
              <w:numPr>
                <w:ilvl w:val="1"/>
                <w:numId w:val="1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F71810">
              <w:rPr>
                <w:rFonts w:ascii="Times New Roman" w:hAnsi="Times New Roman" w:cs="Times New Roman"/>
                <w:sz w:val="20"/>
                <w:szCs w:val="20"/>
              </w:rPr>
              <w:t xml:space="preserve">Podpora </w:t>
            </w:r>
            <w:r w:rsidRPr="00F71810">
              <w:rPr>
                <w:rFonts w:ascii="Times New Roman" w:hAnsi="Times New Roman" w:cs="Times New Roman"/>
                <w:b/>
                <w:bCs/>
                <w:sz w:val="20"/>
                <w:szCs w:val="20"/>
              </w:rPr>
              <w:t xml:space="preserve">pobytových sociálních služeb </w:t>
            </w:r>
            <w:r w:rsidRPr="00F71810">
              <w:rPr>
                <w:rFonts w:ascii="Times New Roman" w:hAnsi="Times New Roman" w:cs="Times New Roman"/>
                <w:sz w:val="20"/>
                <w:szCs w:val="20"/>
              </w:rPr>
              <w:t xml:space="preserve">je zaměřena například na přestavby azylových domů, které společně obývají různé cílové skupiny, nebo těch, které koncentrují vysoký počet osob. Podpořena může být také rekonstrukce a úprava menšího domu na azylový dům pro rodiče s </w:t>
            </w:r>
            <w:r w:rsidRPr="00F71810">
              <w:rPr>
                <w:rFonts w:ascii="Times New Roman" w:hAnsi="Times New Roman" w:cs="Times New Roman"/>
                <w:sz w:val="20"/>
                <w:szCs w:val="20"/>
              </w:rPr>
              <w:lastRenderedPageBreak/>
              <w:t>dětmi.</w:t>
            </w:r>
          </w:p>
          <w:p w:rsidR="007F3CE0" w:rsidRDefault="007F3CE0" w:rsidP="007F3CE0">
            <w:pPr>
              <w:pStyle w:val="Odstavecseseznamem"/>
              <w:ind w:left="1080"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007F3CE0" w:rsidRDefault="007F3CE0" w:rsidP="007F3CE0">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7F3CE0">
              <w:rPr>
                <w:rFonts w:ascii="Times New Roman" w:hAnsi="Times New Roman" w:cs="Times New Roman"/>
                <w:sz w:val="20"/>
                <w:szCs w:val="20"/>
              </w:rPr>
              <w:t xml:space="preserve">3) Investice do infrastruktury </w:t>
            </w:r>
            <w:r w:rsidRPr="007F3CE0">
              <w:rPr>
                <w:rFonts w:ascii="Times New Roman" w:hAnsi="Times New Roman" w:cs="Times New Roman"/>
                <w:bCs/>
                <w:sz w:val="20"/>
                <w:szCs w:val="20"/>
              </w:rPr>
              <w:t>komunitních center za účelem sociálního začleňování a zvýšení uplatnitelnosti na trhu práce</w:t>
            </w:r>
            <w:r>
              <w:rPr>
                <w:rFonts w:ascii="Times New Roman" w:hAnsi="Times New Roman" w:cs="Times New Roman"/>
                <w:bCs/>
                <w:sz w:val="20"/>
                <w:szCs w:val="20"/>
              </w:rPr>
              <w:t>:</w:t>
            </w:r>
          </w:p>
          <w:p w:rsidR="007F3CE0" w:rsidRPr="00E97C05" w:rsidRDefault="007F3CE0" w:rsidP="00E97C05">
            <w:pPr>
              <w:pStyle w:val="Odstavecseseznamem"/>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veřejná víceúčelová zařízení, ve kterých se setkávají členové komunity za účelem realizace sociálních, vzdělávacích, kulturních a rekreačních aktivit s cílem zlepšit sociální situaci těchto jednotlivců a komunity jako celku</w:t>
            </w:r>
          </w:p>
          <w:p w:rsidR="007F3CE0" w:rsidRDefault="00102E03" w:rsidP="00710A9B">
            <w:pPr>
              <w:pStyle w:val="Odstavecseseznamem"/>
              <w:numPr>
                <w:ilvl w:val="1"/>
                <w:numId w:val="1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Projekty komunitních center budou </w:t>
            </w:r>
            <w:r w:rsidRPr="00102E03">
              <w:rPr>
                <w:rFonts w:ascii="Times New Roman" w:hAnsi="Times New Roman" w:cs="Times New Roman"/>
                <w:sz w:val="20"/>
                <w:szCs w:val="20"/>
              </w:rPr>
              <w:t>zahrnovat: stavby, stavební úpravy, pořízení vybavení a případné související úpravy venkovního prostranství (zeleň, parková úprava) za účelem vytvoření prostoru pro setkávání členů komunit ohrožených sociálním vyloučením.</w:t>
            </w:r>
          </w:p>
          <w:p w:rsidR="00102E03" w:rsidRDefault="00102E03" w:rsidP="00102E03">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u w:val="single"/>
              </w:rPr>
            </w:pPr>
            <w:r>
              <w:rPr>
                <w:rFonts w:ascii="Times New Roman" w:hAnsi="Times New Roman" w:cs="Times New Roman"/>
                <w:sz w:val="20"/>
                <w:szCs w:val="20"/>
              </w:rPr>
              <w:t xml:space="preserve">4) </w:t>
            </w:r>
            <w:r w:rsidRPr="00265985">
              <w:rPr>
                <w:rFonts w:ascii="Times New Roman" w:hAnsi="Times New Roman" w:cs="Times New Roman"/>
                <w:sz w:val="20"/>
                <w:szCs w:val="20"/>
                <w:u w:val="single"/>
              </w:rPr>
              <w:t>Podpora výstavby sociálního bydlení</w:t>
            </w:r>
            <w:r>
              <w:rPr>
                <w:rFonts w:ascii="Times New Roman" w:hAnsi="Times New Roman" w:cs="Times New Roman"/>
                <w:sz w:val="20"/>
                <w:szCs w:val="20"/>
                <w:u w:val="single"/>
              </w:rPr>
              <w:t>:</w:t>
            </w:r>
          </w:p>
          <w:p w:rsidR="00DC55B8" w:rsidRDefault="00102E03" w:rsidP="00E97C05">
            <w:pPr>
              <w:pStyle w:val="Odstavecseseznamem"/>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 xml:space="preserve">pořízení bytů, bytových domů, nebytových prostor a jejich adaptace pro potřeby sociálního bydlení, stavební úpravy a pořízení </w:t>
            </w:r>
            <w:r w:rsidR="00DC55B8">
              <w:rPr>
                <w:rFonts w:ascii="Times New Roman" w:hAnsi="Times New Roman" w:cs="Times New Roman"/>
                <w:sz w:val="20"/>
                <w:szCs w:val="20"/>
              </w:rPr>
              <w:t>nezbytného základního vybavení</w:t>
            </w:r>
          </w:p>
          <w:p w:rsidR="009848D9" w:rsidRDefault="009848D9" w:rsidP="00DC55B8">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00C629D4" w:rsidRPr="00DC55B8" w:rsidRDefault="00C629D4" w:rsidP="00DC55B8">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C55B8">
              <w:rPr>
                <w:rFonts w:ascii="Times New Roman" w:hAnsi="Times New Roman" w:cs="Times New Roman"/>
                <w:sz w:val="20"/>
                <w:szCs w:val="20"/>
              </w:rPr>
              <w:t>Jako doplňková aktivita bude podporováno zahrnutí zeleně v okolí budov a na budovách, např. zelené zdi a střechy, aleje, hřiště a parky do realizovaných projektů.</w:t>
            </w:r>
          </w:p>
        </w:tc>
      </w:tr>
      <w:tr w:rsidR="004F7CBE" w:rsidRPr="004B68BB" w:rsidTr="00E97C05">
        <w:trPr>
          <w:gridAfter w:val="1"/>
          <w:cnfStyle w:val="000000100000" w:firstRow="0" w:lastRow="0" w:firstColumn="0" w:lastColumn="0" w:oddVBand="0" w:evenVBand="0" w:oddHBand="1" w:evenHBand="0" w:firstRowFirstColumn="0" w:firstRowLastColumn="0" w:lastRowFirstColumn="0" w:lastRowLastColumn="0"/>
          <w:wAfter w:w="18" w:type="dxa"/>
          <w:trHeight w:val="448"/>
        </w:trPr>
        <w:tc>
          <w:tcPr>
            <w:cnfStyle w:val="001000000000" w:firstRow="0" w:lastRow="0" w:firstColumn="1" w:lastColumn="0" w:oddVBand="0" w:evenVBand="0" w:oddHBand="0" w:evenHBand="0" w:firstRowFirstColumn="0" w:firstRowLastColumn="0" w:lastRowFirstColumn="0" w:lastRowLastColumn="0"/>
            <w:tcW w:w="2093" w:type="dxa"/>
            <w:vMerge w:val="restart"/>
            <w:shd w:val="clear" w:color="auto" w:fill="C5E0B3" w:themeFill="accent6" w:themeFillTint="66"/>
          </w:tcPr>
          <w:p w:rsidR="004F7CBE" w:rsidRPr="005D0023" w:rsidRDefault="004F7CBE" w:rsidP="00043B30">
            <w:pPr>
              <w:spacing w:after="0" w:line="240" w:lineRule="auto"/>
              <w:jc w:val="left"/>
              <w:rPr>
                <w:rFonts w:ascii="Times New Roman" w:hAnsi="Times New Roman" w:cs="Times New Roman"/>
                <w:sz w:val="20"/>
                <w:szCs w:val="20"/>
              </w:rPr>
            </w:pPr>
            <w:r w:rsidRPr="005D0023">
              <w:rPr>
                <w:rFonts w:ascii="Times New Roman" w:hAnsi="Times New Roman" w:cs="Times New Roman"/>
                <w:sz w:val="20"/>
                <w:szCs w:val="20"/>
              </w:rPr>
              <w:lastRenderedPageBreak/>
              <w:t>Výsledky</w:t>
            </w:r>
          </w:p>
        </w:tc>
        <w:tc>
          <w:tcPr>
            <w:tcW w:w="7111" w:type="dxa"/>
            <w:gridSpan w:val="6"/>
            <w:shd w:val="clear" w:color="auto" w:fill="auto"/>
          </w:tcPr>
          <w:p w:rsidR="004F7CBE" w:rsidRDefault="004F7CBE" w:rsidP="00747CBA">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Indikátory vychází z programového dokumentu IROP a odpovídají specifickému cíli a podporovaným aktivitám v PR. </w:t>
            </w:r>
          </w:p>
          <w:p w:rsidR="004F7CBE" w:rsidRDefault="004F7CBE" w:rsidP="00747CBA">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1027C8" w:rsidRPr="0037086E" w:rsidRDefault="00D03677" w:rsidP="00747CBA">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086E">
              <w:rPr>
                <w:rFonts w:ascii="Times New Roman" w:hAnsi="Times New Roman" w:cs="Times New Roman"/>
                <w:sz w:val="20"/>
                <w:szCs w:val="20"/>
              </w:rPr>
              <w:t>Výchozí a c</w:t>
            </w:r>
            <w:r w:rsidR="004F7CBE" w:rsidRPr="0037086E">
              <w:rPr>
                <w:rFonts w:ascii="Times New Roman" w:hAnsi="Times New Roman" w:cs="Times New Roman"/>
                <w:sz w:val="20"/>
                <w:szCs w:val="20"/>
              </w:rPr>
              <w:t>í</w:t>
            </w:r>
            <w:r w:rsidRPr="0037086E">
              <w:rPr>
                <w:rFonts w:ascii="Times New Roman" w:hAnsi="Times New Roman" w:cs="Times New Roman"/>
                <w:sz w:val="20"/>
                <w:szCs w:val="20"/>
              </w:rPr>
              <w:t>lová hodnota indikátor</w:t>
            </w:r>
            <w:r w:rsidR="00772958" w:rsidRPr="0037086E">
              <w:rPr>
                <w:rFonts w:ascii="Times New Roman" w:hAnsi="Times New Roman" w:cs="Times New Roman"/>
                <w:sz w:val="20"/>
                <w:szCs w:val="20"/>
              </w:rPr>
              <w:t>ů</w:t>
            </w:r>
            <w:r w:rsidRPr="0037086E">
              <w:rPr>
                <w:rFonts w:ascii="Times New Roman" w:hAnsi="Times New Roman" w:cs="Times New Roman"/>
                <w:sz w:val="20"/>
                <w:szCs w:val="20"/>
              </w:rPr>
              <w:t xml:space="preserve"> výsledku byla stanovena na základě závěrů analýzy absorpční kapacity MAS.</w:t>
            </w:r>
          </w:p>
          <w:p w:rsidR="00D03677" w:rsidRDefault="00D03677" w:rsidP="00747CBA">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4F7CBE" w:rsidRPr="007B1D68" w:rsidRDefault="006C42D0" w:rsidP="00747CBA">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r w:rsidR="00D03677">
              <w:rPr>
                <w:rFonts w:ascii="Times New Roman" w:hAnsi="Times New Roman" w:cs="Times New Roman"/>
                <w:sz w:val="20"/>
                <w:szCs w:val="20"/>
              </w:rPr>
              <w:t xml:space="preserve">ílová hodnota indikátorů výstupu </w:t>
            </w:r>
            <w:r w:rsidR="004F7CBE" w:rsidRPr="007B1D68">
              <w:rPr>
                <w:rFonts w:ascii="Times New Roman" w:hAnsi="Times New Roman" w:cs="Times New Roman"/>
                <w:sz w:val="20"/>
                <w:szCs w:val="20"/>
              </w:rPr>
              <w:t xml:space="preserve">byla stanovena na základě analýzy absorpční schopnosti </w:t>
            </w:r>
            <w:r w:rsidR="00D03677">
              <w:rPr>
                <w:rFonts w:ascii="Times New Roman" w:hAnsi="Times New Roman" w:cs="Times New Roman"/>
                <w:sz w:val="20"/>
                <w:szCs w:val="20"/>
              </w:rPr>
              <w:t>MAS SKCh</w:t>
            </w:r>
            <w:r w:rsidR="004F7CBE" w:rsidRPr="007B1D68">
              <w:rPr>
                <w:rFonts w:ascii="Times New Roman" w:hAnsi="Times New Roman" w:cs="Times New Roman"/>
                <w:sz w:val="20"/>
                <w:szCs w:val="20"/>
              </w:rPr>
              <w:t xml:space="preserve">, resp. připravenosti a schopnosti subjektů na území MAS předložit a zrealizovat projekty, které odpovídají dlouhodobým potřebám regionu, dále na základě komunitního projednávání a také s ohledem na výši přidělené alokace pro programový rámec IROP. </w:t>
            </w:r>
          </w:p>
          <w:p w:rsidR="004F7CBE" w:rsidRDefault="004F7CBE" w:rsidP="00747CBA">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p w:rsidR="00772958" w:rsidRDefault="00747CBA" w:rsidP="00747CBA">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42D0">
              <w:rPr>
                <w:rFonts w:ascii="Times New Roman" w:hAnsi="Times New Roman" w:cs="Times New Roman"/>
                <w:sz w:val="20"/>
                <w:szCs w:val="20"/>
              </w:rPr>
              <w:t>Průměrná cena za jednotku indikátoru</w:t>
            </w:r>
            <w:r>
              <w:rPr>
                <w:rFonts w:ascii="Times New Roman" w:hAnsi="Times New Roman" w:cs="Times New Roman"/>
                <w:sz w:val="20"/>
                <w:szCs w:val="20"/>
              </w:rPr>
              <w:t xml:space="preserve"> </w:t>
            </w:r>
            <w:r w:rsidRPr="00A4259A">
              <w:rPr>
                <w:rFonts w:ascii="Times New Roman" w:hAnsi="Times New Roman" w:cs="Times New Roman"/>
                <w:sz w:val="20"/>
                <w:szCs w:val="20"/>
              </w:rPr>
              <w:t>Počet podpořených zázemí pro služby a sociální práci</w:t>
            </w:r>
            <w:r>
              <w:rPr>
                <w:rFonts w:ascii="Times New Roman" w:hAnsi="Times New Roman" w:cs="Times New Roman"/>
                <w:sz w:val="20"/>
                <w:szCs w:val="20"/>
              </w:rPr>
              <w:t xml:space="preserve"> byla stanovena indikativně, a to na základě </w:t>
            </w:r>
            <w:r w:rsidRPr="006C42D0">
              <w:rPr>
                <w:rFonts w:ascii="Times New Roman" w:hAnsi="Times New Roman" w:cs="Times New Roman"/>
                <w:sz w:val="20"/>
                <w:szCs w:val="20"/>
              </w:rPr>
              <w:t>analýzy absorpční kapacity území MAS</w:t>
            </w:r>
            <w:r>
              <w:rPr>
                <w:rFonts w:ascii="Times New Roman" w:hAnsi="Times New Roman" w:cs="Times New Roman"/>
                <w:sz w:val="20"/>
                <w:szCs w:val="20"/>
              </w:rPr>
              <w:t xml:space="preserve">. </w:t>
            </w:r>
          </w:p>
          <w:p w:rsidR="00772958" w:rsidRPr="00E97C05" w:rsidRDefault="00747CBA" w:rsidP="00710A9B">
            <w:pPr>
              <w:pStyle w:val="Odstavecseseznamem"/>
              <w:numPr>
                <w:ilvl w:val="0"/>
                <w:numId w:val="11"/>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V případě</w:t>
            </w:r>
            <w:r w:rsidR="00772958" w:rsidRPr="00E97C05">
              <w:rPr>
                <w:rFonts w:ascii="Times New Roman" w:hAnsi="Times New Roman" w:cs="Times New Roman"/>
                <w:sz w:val="20"/>
                <w:szCs w:val="20"/>
              </w:rPr>
              <w:t xml:space="preserve"> pořízení</w:t>
            </w:r>
            <w:r w:rsidRPr="00E97C05">
              <w:rPr>
                <w:rFonts w:ascii="Times New Roman" w:hAnsi="Times New Roman" w:cs="Times New Roman"/>
                <w:sz w:val="20"/>
                <w:szCs w:val="20"/>
              </w:rPr>
              <w:t xml:space="preserve"> zázemí pro dostupnost a rozvoj sociální služby (např. terénní služby) byla průměrná cena stanovena na </w:t>
            </w:r>
            <w:r w:rsidR="00772958" w:rsidRPr="00E97C05">
              <w:rPr>
                <w:rFonts w:ascii="Times New Roman" w:hAnsi="Times New Roman" w:cs="Times New Roman"/>
                <w:sz w:val="20"/>
                <w:szCs w:val="20"/>
              </w:rPr>
              <w:t>0,5 mil.</w:t>
            </w:r>
            <w:r w:rsidRPr="00E97C05">
              <w:rPr>
                <w:rFonts w:ascii="Times New Roman" w:hAnsi="Times New Roman" w:cs="Times New Roman"/>
                <w:sz w:val="20"/>
                <w:szCs w:val="20"/>
              </w:rPr>
              <w:t xml:space="preserve"> Kč na </w:t>
            </w:r>
            <w:r w:rsidR="00772958" w:rsidRPr="00E97C05">
              <w:rPr>
                <w:rFonts w:ascii="Times New Roman" w:hAnsi="Times New Roman" w:cs="Times New Roman"/>
                <w:sz w:val="20"/>
                <w:szCs w:val="20"/>
              </w:rPr>
              <w:t>jedno</w:t>
            </w:r>
            <w:r w:rsidRPr="00E97C05">
              <w:rPr>
                <w:rFonts w:ascii="Times New Roman" w:hAnsi="Times New Roman" w:cs="Times New Roman"/>
                <w:sz w:val="20"/>
                <w:szCs w:val="20"/>
              </w:rPr>
              <w:t xml:space="preserve"> zázemí. V době tvorby strategie je uvažováno o realizaci 2 zázemí pro poskytování terénní služby. </w:t>
            </w:r>
          </w:p>
          <w:p w:rsidR="00747CBA" w:rsidRPr="00E97C05" w:rsidRDefault="00747CBA" w:rsidP="00710A9B">
            <w:pPr>
              <w:pStyle w:val="Odstavecseseznamem"/>
              <w:numPr>
                <w:ilvl w:val="0"/>
                <w:numId w:val="11"/>
              </w:num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 xml:space="preserve">V případě </w:t>
            </w:r>
            <w:r w:rsidR="00772958" w:rsidRPr="00E97C05">
              <w:rPr>
                <w:rFonts w:ascii="Times New Roman" w:hAnsi="Times New Roman" w:cs="Times New Roman"/>
                <w:sz w:val="20"/>
                <w:szCs w:val="20"/>
              </w:rPr>
              <w:t xml:space="preserve">pořízení </w:t>
            </w:r>
            <w:r w:rsidRPr="00E97C05">
              <w:rPr>
                <w:rFonts w:ascii="Times New Roman" w:hAnsi="Times New Roman" w:cs="Times New Roman"/>
                <w:sz w:val="20"/>
                <w:szCs w:val="20"/>
              </w:rPr>
              <w:t xml:space="preserve">komunitních center byla stanovena průměrná cena na jednotku indikátoru na </w:t>
            </w:r>
            <w:r w:rsidR="0063150F" w:rsidRPr="00E97C05">
              <w:rPr>
                <w:rFonts w:ascii="Times New Roman" w:hAnsi="Times New Roman" w:cs="Times New Roman"/>
                <w:sz w:val="20"/>
                <w:szCs w:val="20"/>
              </w:rPr>
              <w:t>2</w:t>
            </w:r>
            <w:r w:rsidR="00772958" w:rsidRPr="00E97C05">
              <w:rPr>
                <w:rFonts w:ascii="Times New Roman" w:hAnsi="Times New Roman" w:cs="Times New Roman"/>
                <w:sz w:val="20"/>
                <w:szCs w:val="20"/>
              </w:rPr>
              <w:t>,5</w:t>
            </w:r>
            <w:r w:rsidR="0063150F" w:rsidRPr="00E97C05">
              <w:rPr>
                <w:rFonts w:ascii="Times New Roman" w:hAnsi="Times New Roman" w:cs="Times New Roman"/>
                <w:sz w:val="20"/>
                <w:szCs w:val="20"/>
              </w:rPr>
              <w:t xml:space="preserve"> mil. Kč na jednoho zázemí. V době tvorby strategie je uvažováno o realizaci 2 komunitních center.</w:t>
            </w:r>
          </w:p>
          <w:p w:rsidR="00747CBA" w:rsidRPr="004F7CBE" w:rsidRDefault="00747CBA" w:rsidP="004F7CBE">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p w:rsidR="00747CBA" w:rsidRDefault="004F7CBE" w:rsidP="004F7CBE">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C42D0">
              <w:rPr>
                <w:rFonts w:ascii="Times New Roman" w:hAnsi="Times New Roman" w:cs="Times New Roman"/>
                <w:sz w:val="20"/>
                <w:szCs w:val="20"/>
              </w:rPr>
              <w:t xml:space="preserve">Průměrná cena za jednotku indikátoru </w:t>
            </w:r>
            <w:r w:rsidR="00747CBA" w:rsidRPr="001027C8">
              <w:rPr>
                <w:rFonts w:ascii="Times New Roman" w:hAnsi="Times New Roman" w:cs="Times New Roman"/>
                <w:sz w:val="20"/>
                <w:szCs w:val="20"/>
              </w:rPr>
              <w:t>Počet podpořených bytů pro sociální bydlení</w:t>
            </w:r>
            <w:r w:rsidR="00747CBA">
              <w:rPr>
                <w:rFonts w:ascii="Times New Roman" w:hAnsi="Times New Roman" w:cs="Times New Roman"/>
                <w:sz w:val="20"/>
                <w:szCs w:val="20"/>
              </w:rPr>
              <w:t xml:space="preserve"> byla stanovena indikativně, a to na základě </w:t>
            </w:r>
            <w:r w:rsidR="00747CBA" w:rsidRPr="006C42D0">
              <w:rPr>
                <w:rFonts w:ascii="Times New Roman" w:hAnsi="Times New Roman" w:cs="Times New Roman"/>
                <w:sz w:val="20"/>
                <w:szCs w:val="20"/>
              </w:rPr>
              <w:t>analýzy absorpční kapacity území MAS</w:t>
            </w:r>
            <w:r w:rsidR="00747CBA">
              <w:rPr>
                <w:rFonts w:ascii="Times New Roman" w:hAnsi="Times New Roman" w:cs="Times New Roman"/>
                <w:sz w:val="20"/>
                <w:szCs w:val="20"/>
              </w:rPr>
              <w:t xml:space="preserve"> na </w:t>
            </w:r>
            <w:r w:rsidR="00772958">
              <w:rPr>
                <w:rFonts w:ascii="Times New Roman" w:hAnsi="Times New Roman" w:cs="Times New Roman"/>
                <w:sz w:val="20"/>
                <w:szCs w:val="20"/>
              </w:rPr>
              <w:t>0,5 mil.</w:t>
            </w:r>
            <w:r w:rsidR="00747CBA">
              <w:rPr>
                <w:rFonts w:ascii="Times New Roman" w:hAnsi="Times New Roman" w:cs="Times New Roman"/>
                <w:sz w:val="20"/>
                <w:szCs w:val="20"/>
              </w:rPr>
              <w:t xml:space="preserve"> Kč na pořízení jedné bytové jednotky.</w:t>
            </w:r>
          </w:p>
          <w:p w:rsidR="004F7CBE" w:rsidRPr="00B529A4" w:rsidRDefault="004F7CBE" w:rsidP="004F7CBE">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4F7CBE" w:rsidRPr="004B68BB" w:rsidTr="00486809">
        <w:trPr>
          <w:gridAfter w:val="1"/>
          <w:cnfStyle w:val="000000010000" w:firstRow="0" w:lastRow="0" w:firstColumn="0" w:lastColumn="0" w:oddVBand="0" w:evenVBand="0" w:oddHBand="0" w:evenHBand="1" w:firstRowFirstColumn="0" w:firstRowLastColumn="0" w:lastRowFirstColumn="0" w:lastRowLastColumn="0"/>
          <w:wAfter w:w="18" w:type="dxa"/>
          <w:trHeight w:val="448"/>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F7CBE" w:rsidRPr="005D0023" w:rsidRDefault="004F7CBE" w:rsidP="00043B30">
            <w:pPr>
              <w:spacing w:after="0" w:line="240" w:lineRule="auto"/>
              <w:jc w:val="left"/>
              <w:rPr>
                <w:rFonts w:ascii="Times New Roman" w:hAnsi="Times New Roman" w:cs="Times New Roman"/>
                <w:sz w:val="20"/>
                <w:szCs w:val="20"/>
              </w:rPr>
            </w:pPr>
          </w:p>
        </w:tc>
        <w:tc>
          <w:tcPr>
            <w:tcW w:w="7111" w:type="dxa"/>
            <w:gridSpan w:val="6"/>
            <w:shd w:val="clear" w:color="auto" w:fill="E2EFD9" w:themeFill="accent6" w:themeFillTint="33"/>
          </w:tcPr>
          <w:p w:rsidR="004F7CBE" w:rsidRPr="00B529A4"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p w:rsidR="004F7CBE" w:rsidRPr="004B68BB"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lang w:eastAsia="cs-CZ"/>
              </w:rPr>
            </w:pPr>
            <w:r w:rsidRPr="00B529A4">
              <w:rPr>
                <w:rFonts w:ascii="Times New Roman" w:hAnsi="Times New Roman" w:cs="Times New Roman"/>
                <w:b/>
                <w:sz w:val="20"/>
                <w:szCs w:val="20"/>
              </w:rPr>
              <w:t>Indikátory výsledku</w:t>
            </w:r>
          </w:p>
        </w:tc>
      </w:tr>
      <w:tr w:rsidR="004F7CBE" w:rsidRPr="00B529A4" w:rsidTr="00507F90">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F7CBE" w:rsidRPr="005D0023" w:rsidRDefault="004F7CBE" w:rsidP="00043B30">
            <w:pPr>
              <w:spacing w:before="0" w:after="0" w:line="240" w:lineRule="auto"/>
              <w:ind w:firstLine="0"/>
              <w:jc w:val="left"/>
              <w:rPr>
                <w:rFonts w:ascii="Times New Roman" w:hAnsi="Times New Roman" w:cs="Times New Roman"/>
                <w:sz w:val="20"/>
                <w:szCs w:val="20"/>
              </w:rPr>
            </w:pPr>
          </w:p>
        </w:tc>
        <w:tc>
          <w:tcPr>
            <w:tcW w:w="1134" w:type="dxa"/>
            <w:shd w:val="clear" w:color="auto" w:fill="auto"/>
          </w:tcPr>
          <w:p w:rsidR="004F7CBE" w:rsidRPr="00B529A4"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Kód indikátoru</w:t>
            </w:r>
          </w:p>
        </w:tc>
        <w:tc>
          <w:tcPr>
            <w:tcW w:w="1984" w:type="dxa"/>
            <w:shd w:val="clear" w:color="auto" w:fill="auto"/>
          </w:tcPr>
          <w:p w:rsidR="004F7CBE" w:rsidRPr="00B529A4"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Název indikátoru</w:t>
            </w:r>
          </w:p>
        </w:tc>
        <w:tc>
          <w:tcPr>
            <w:tcW w:w="1016" w:type="dxa"/>
            <w:shd w:val="clear" w:color="auto" w:fill="auto"/>
          </w:tcPr>
          <w:p w:rsidR="004F7CBE" w:rsidRPr="00B529A4"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MJ</w:t>
            </w:r>
          </w:p>
        </w:tc>
        <w:tc>
          <w:tcPr>
            <w:tcW w:w="992" w:type="dxa"/>
            <w:shd w:val="clear" w:color="auto" w:fill="auto"/>
          </w:tcPr>
          <w:p w:rsidR="004F7CBE" w:rsidRPr="00B529A4"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Výchozí hodnota</w:t>
            </w:r>
            <w:r>
              <w:rPr>
                <w:rFonts w:ascii="Times New Roman" w:hAnsi="Times New Roman" w:cs="Times New Roman"/>
                <w:b/>
                <w:sz w:val="20"/>
                <w:szCs w:val="20"/>
              </w:rPr>
              <w:t xml:space="preserve"> (2</w:t>
            </w:r>
            <w:r w:rsidR="008E17BE">
              <w:rPr>
                <w:rFonts w:ascii="Times New Roman" w:hAnsi="Times New Roman" w:cs="Times New Roman"/>
                <w:b/>
                <w:sz w:val="20"/>
                <w:szCs w:val="20"/>
              </w:rPr>
              <w:t>015)</w:t>
            </w:r>
            <w:r w:rsidRPr="00B529A4">
              <w:rPr>
                <w:rFonts w:ascii="Times New Roman" w:hAnsi="Times New Roman" w:cs="Times New Roman"/>
                <w:b/>
                <w:sz w:val="20"/>
                <w:szCs w:val="20"/>
              </w:rPr>
              <w:t xml:space="preserve"> </w:t>
            </w:r>
          </w:p>
        </w:tc>
        <w:tc>
          <w:tcPr>
            <w:tcW w:w="992" w:type="dxa"/>
            <w:shd w:val="clear" w:color="auto" w:fill="auto"/>
          </w:tcPr>
          <w:p w:rsidR="004F7CBE" w:rsidRPr="00B529A4"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Cílová hodnota</w:t>
            </w:r>
            <w:r w:rsidR="008E17BE">
              <w:rPr>
                <w:rFonts w:ascii="Times New Roman" w:hAnsi="Times New Roman" w:cs="Times New Roman"/>
                <w:b/>
                <w:sz w:val="20"/>
                <w:szCs w:val="20"/>
              </w:rPr>
              <w:t xml:space="preserve"> (2023)</w:t>
            </w:r>
          </w:p>
        </w:tc>
        <w:tc>
          <w:tcPr>
            <w:tcW w:w="993" w:type="dxa"/>
            <w:shd w:val="clear" w:color="auto" w:fill="auto"/>
          </w:tcPr>
          <w:p w:rsidR="004F7CBE" w:rsidRPr="00B529A4"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Milník</w:t>
            </w:r>
            <w:r w:rsidR="008E17BE">
              <w:rPr>
                <w:rFonts w:ascii="Times New Roman" w:hAnsi="Times New Roman" w:cs="Times New Roman"/>
                <w:b/>
                <w:sz w:val="20"/>
                <w:szCs w:val="20"/>
              </w:rPr>
              <w:t xml:space="preserve"> (2018)</w:t>
            </w:r>
          </w:p>
        </w:tc>
      </w:tr>
      <w:tr w:rsidR="004F7CBE" w:rsidRPr="00B529A4" w:rsidTr="00507F90">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F7CBE" w:rsidRPr="005D0023" w:rsidRDefault="004F7CBE" w:rsidP="00043B30">
            <w:pPr>
              <w:spacing w:before="0" w:after="0" w:line="240" w:lineRule="auto"/>
              <w:ind w:firstLine="0"/>
              <w:jc w:val="left"/>
              <w:rPr>
                <w:rFonts w:ascii="Times New Roman" w:hAnsi="Times New Roman" w:cs="Times New Roman"/>
                <w:b w:val="0"/>
                <w:sz w:val="20"/>
                <w:szCs w:val="20"/>
              </w:rPr>
            </w:pPr>
          </w:p>
        </w:tc>
        <w:tc>
          <w:tcPr>
            <w:tcW w:w="1134" w:type="dxa"/>
            <w:shd w:val="clear" w:color="auto" w:fill="auto"/>
          </w:tcPr>
          <w:p w:rsidR="004F7CBE" w:rsidRPr="00B01F88"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t>6 75 10</w:t>
            </w:r>
          </w:p>
        </w:tc>
        <w:tc>
          <w:tcPr>
            <w:tcW w:w="1984" w:type="dxa"/>
            <w:shd w:val="clear" w:color="auto" w:fill="auto"/>
          </w:tcPr>
          <w:p w:rsidR="004F7CBE" w:rsidRPr="00B01F88"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t>Kapacita služeb a sociální práce</w:t>
            </w:r>
          </w:p>
        </w:tc>
        <w:tc>
          <w:tcPr>
            <w:tcW w:w="1016" w:type="dxa"/>
            <w:shd w:val="clear" w:color="auto" w:fill="auto"/>
          </w:tcPr>
          <w:p w:rsidR="004F7CBE" w:rsidRPr="00B01F88"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t>klienti</w:t>
            </w:r>
          </w:p>
        </w:tc>
        <w:tc>
          <w:tcPr>
            <w:tcW w:w="992" w:type="dxa"/>
            <w:shd w:val="clear" w:color="auto" w:fill="auto"/>
            <w:vAlign w:val="center"/>
          </w:tcPr>
          <w:p w:rsidR="004F7CBE" w:rsidRPr="00B01F88" w:rsidRDefault="00B01F8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t>0</w:t>
            </w:r>
          </w:p>
        </w:tc>
        <w:tc>
          <w:tcPr>
            <w:tcW w:w="992" w:type="dxa"/>
            <w:shd w:val="clear" w:color="auto" w:fill="auto"/>
            <w:vAlign w:val="center"/>
          </w:tcPr>
          <w:p w:rsidR="004F7CBE" w:rsidRPr="00B01F88" w:rsidRDefault="00B01F8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t>16</w:t>
            </w:r>
          </w:p>
        </w:tc>
        <w:tc>
          <w:tcPr>
            <w:tcW w:w="993" w:type="dxa"/>
            <w:shd w:val="clear" w:color="auto" w:fill="auto"/>
            <w:vAlign w:val="center"/>
          </w:tcPr>
          <w:p w:rsidR="004F7CBE" w:rsidRPr="00B529A4" w:rsidRDefault="008E17BE"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486809" w:rsidRPr="00B529A4" w:rsidTr="00507F90">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86809" w:rsidRPr="005D0023" w:rsidRDefault="00486809" w:rsidP="00043B30">
            <w:pPr>
              <w:spacing w:before="0" w:after="0" w:line="240" w:lineRule="auto"/>
              <w:ind w:firstLine="0"/>
              <w:jc w:val="left"/>
              <w:rPr>
                <w:rFonts w:ascii="Times New Roman" w:hAnsi="Times New Roman" w:cs="Times New Roman"/>
                <w:b w:val="0"/>
                <w:sz w:val="20"/>
                <w:szCs w:val="20"/>
              </w:rPr>
            </w:pPr>
          </w:p>
        </w:tc>
        <w:tc>
          <w:tcPr>
            <w:tcW w:w="1134" w:type="dxa"/>
            <w:shd w:val="clear" w:color="auto" w:fill="auto"/>
          </w:tcPr>
          <w:p w:rsidR="00486809" w:rsidRPr="00B01F88" w:rsidRDefault="00486809" w:rsidP="0076016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t>5 53 20</w:t>
            </w:r>
          </w:p>
        </w:tc>
        <w:tc>
          <w:tcPr>
            <w:tcW w:w="1984" w:type="dxa"/>
            <w:shd w:val="clear" w:color="auto" w:fill="auto"/>
          </w:tcPr>
          <w:p w:rsidR="00486809" w:rsidRPr="00B01F88" w:rsidRDefault="00486809" w:rsidP="0076016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t xml:space="preserve">Průměrný počet osob využívajících sociální </w:t>
            </w:r>
            <w:r w:rsidRPr="00B01F88">
              <w:rPr>
                <w:rFonts w:ascii="Times New Roman" w:hAnsi="Times New Roman" w:cs="Times New Roman"/>
                <w:sz w:val="20"/>
                <w:szCs w:val="20"/>
              </w:rPr>
              <w:lastRenderedPageBreak/>
              <w:t>bydlení</w:t>
            </w:r>
          </w:p>
        </w:tc>
        <w:tc>
          <w:tcPr>
            <w:tcW w:w="1016" w:type="dxa"/>
            <w:shd w:val="clear" w:color="auto" w:fill="auto"/>
          </w:tcPr>
          <w:p w:rsidR="00486809" w:rsidRPr="00B01F88" w:rsidRDefault="00486809" w:rsidP="0076016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lastRenderedPageBreak/>
              <w:t>klienti</w:t>
            </w:r>
          </w:p>
        </w:tc>
        <w:tc>
          <w:tcPr>
            <w:tcW w:w="992" w:type="dxa"/>
            <w:shd w:val="clear" w:color="auto" w:fill="auto"/>
            <w:vAlign w:val="center"/>
          </w:tcPr>
          <w:p w:rsidR="00486809" w:rsidRPr="00B01F88" w:rsidRDefault="00B01F8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t>53</w:t>
            </w:r>
          </w:p>
        </w:tc>
        <w:tc>
          <w:tcPr>
            <w:tcW w:w="992" w:type="dxa"/>
            <w:shd w:val="clear" w:color="auto" w:fill="auto"/>
            <w:vAlign w:val="center"/>
          </w:tcPr>
          <w:p w:rsidR="00486809" w:rsidRPr="00B01F88" w:rsidRDefault="00B01F8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F88">
              <w:rPr>
                <w:rFonts w:ascii="Times New Roman" w:hAnsi="Times New Roman" w:cs="Times New Roman"/>
                <w:sz w:val="20"/>
                <w:szCs w:val="20"/>
              </w:rPr>
              <w:t>79</w:t>
            </w:r>
          </w:p>
        </w:tc>
        <w:tc>
          <w:tcPr>
            <w:tcW w:w="993" w:type="dxa"/>
            <w:shd w:val="clear" w:color="auto" w:fill="auto"/>
            <w:vAlign w:val="center"/>
          </w:tcPr>
          <w:p w:rsidR="00486809" w:rsidRDefault="00507F90"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486809" w:rsidRPr="00B529A4" w:rsidTr="00507F90">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86809" w:rsidRPr="005D0023" w:rsidRDefault="00486809" w:rsidP="00043B30">
            <w:pPr>
              <w:spacing w:before="0" w:after="0" w:line="240" w:lineRule="auto"/>
              <w:ind w:firstLine="0"/>
              <w:jc w:val="left"/>
              <w:rPr>
                <w:rFonts w:ascii="Times New Roman" w:hAnsi="Times New Roman" w:cs="Times New Roman"/>
                <w:b w:val="0"/>
                <w:sz w:val="20"/>
                <w:szCs w:val="20"/>
              </w:rPr>
            </w:pPr>
          </w:p>
        </w:tc>
        <w:tc>
          <w:tcPr>
            <w:tcW w:w="1134" w:type="dxa"/>
            <w:shd w:val="clear" w:color="auto" w:fill="auto"/>
          </w:tcPr>
          <w:p w:rsidR="00486809" w:rsidRPr="00507F90" w:rsidRDefault="00486809" w:rsidP="0076016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07F90">
              <w:rPr>
                <w:rFonts w:ascii="Times New Roman" w:hAnsi="Times New Roman" w:cs="Times New Roman"/>
                <w:sz w:val="20"/>
                <w:szCs w:val="20"/>
              </w:rPr>
              <w:t>5 53 10</w:t>
            </w:r>
          </w:p>
        </w:tc>
        <w:tc>
          <w:tcPr>
            <w:tcW w:w="1984" w:type="dxa"/>
            <w:shd w:val="clear" w:color="auto" w:fill="auto"/>
          </w:tcPr>
          <w:p w:rsidR="00486809" w:rsidRPr="00507F90" w:rsidRDefault="00486809" w:rsidP="0076016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507F90">
              <w:rPr>
                <w:rFonts w:ascii="Times New Roman" w:hAnsi="Times New Roman" w:cs="Times New Roman"/>
                <w:sz w:val="20"/>
                <w:szCs w:val="20"/>
              </w:rPr>
              <w:t>Nárůst kapacity sociálních bytů</w:t>
            </w:r>
          </w:p>
        </w:tc>
        <w:tc>
          <w:tcPr>
            <w:tcW w:w="1016" w:type="dxa"/>
            <w:shd w:val="clear" w:color="auto" w:fill="auto"/>
          </w:tcPr>
          <w:p w:rsidR="00486809" w:rsidRPr="001027C8" w:rsidRDefault="00486809" w:rsidP="0076016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cyan"/>
              </w:rPr>
            </w:pPr>
            <w:r w:rsidRPr="00507F90">
              <w:rPr>
                <w:rFonts w:ascii="Times New Roman" w:hAnsi="Times New Roman" w:cs="Times New Roman"/>
                <w:sz w:val="20"/>
                <w:szCs w:val="20"/>
              </w:rPr>
              <w:t>osoby/rok</w:t>
            </w:r>
          </w:p>
        </w:tc>
        <w:tc>
          <w:tcPr>
            <w:tcW w:w="992" w:type="dxa"/>
            <w:shd w:val="clear" w:color="auto" w:fill="auto"/>
            <w:vAlign w:val="center"/>
          </w:tcPr>
          <w:p w:rsidR="00486809" w:rsidRPr="00B529A4" w:rsidRDefault="00BE6DA2"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w:t>
            </w:r>
          </w:p>
        </w:tc>
        <w:tc>
          <w:tcPr>
            <w:tcW w:w="992" w:type="dxa"/>
            <w:shd w:val="clear" w:color="auto" w:fill="auto"/>
            <w:vAlign w:val="center"/>
          </w:tcPr>
          <w:p w:rsidR="00486809" w:rsidRPr="00B529A4" w:rsidRDefault="00BE6DA2"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75</w:t>
            </w:r>
          </w:p>
        </w:tc>
        <w:tc>
          <w:tcPr>
            <w:tcW w:w="993" w:type="dxa"/>
            <w:shd w:val="clear" w:color="auto" w:fill="auto"/>
            <w:vAlign w:val="center"/>
          </w:tcPr>
          <w:p w:rsidR="00486809" w:rsidRDefault="00507F90"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4F7CBE" w:rsidRPr="00B529A4" w:rsidTr="00486809">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F7CBE" w:rsidRPr="005D0023" w:rsidRDefault="004F7CBE" w:rsidP="00043B30">
            <w:pPr>
              <w:pStyle w:val="Bezmezer"/>
              <w:spacing w:before="0" w:after="0" w:line="240" w:lineRule="auto"/>
              <w:jc w:val="left"/>
              <w:rPr>
                <w:rFonts w:ascii="Times New Roman" w:hAnsi="Times New Roman" w:cs="Times New Roman"/>
                <w:b w:val="0"/>
                <w:sz w:val="20"/>
                <w:szCs w:val="20"/>
              </w:rPr>
            </w:pPr>
          </w:p>
        </w:tc>
        <w:tc>
          <w:tcPr>
            <w:tcW w:w="7111" w:type="dxa"/>
            <w:gridSpan w:val="6"/>
            <w:shd w:val="clear" w:color="auto" w:fill="E2EFD9" w:themeFill="accent6" w:themeFillTint="33"/>
          </w:tcPr>
          <w:p w:rsidR="004F7CBE" w:rsidRPr="00B529A4"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4F7CBE" w:rsidRPr="00B529A4"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cs-CZ"/>
              </w:rPr>
            </w:pPr>
            <w:r w:rsidRPr="00B529A4">
              <w:rPr>
                <w:rFonts w:ascii="Times New Roman" w:hAnsi="Times New Roman" w:cs="Times New Roman"/>
                <w:b/>
                <w:sz w:val="20"/>
                <w:szCs w:val="20"/>
              </w:rPr>
              <w:t>Indikátory výstupu</w:t>
            </w:r>
          </w:p>
        </w:tc>
      </w:tr>
      <w:tr w:rsidR="004F7CBE" w:rsidRPr="00B529A4" w:rsidTr="00486809">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F7CBE" w:rsidRPr="005D0023" w:rsidRDefault="004F7CBE"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4F7CBE" w:rsidRPr="00B529A4"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Kód indikátoru</w:t>
            </w:r>
          </w:p>
        </w:tc>
        <w:tc>
          <w:tcPr>
            <w:tcW w:w="1984" w:type="dxa"/>
            <w:shd w:val="clear" w:color="auto" w:fill="auto"/>
          </w:tcPr>
          <w:p w:rsidR="004F7CBE" w:rsidRPr="00B529A4"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Název indikátoru</w:t>
            </w:r>
          </w:p>
        </w:tc>
        <w:tc>
          <w:tcPr>
            <w:tcW w:w="1016" w:type="dxa"/>
            <w:shd w:val="clear" w:color="auto" w:fill="auto"/>
          </w:tcPr>
          <w:p w:rsidR="004F7CBE" w:rsidRPr="00B529A4"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MJ</w:t>
            </w:r>
          </w:p>
        </w:tc>
        <w:tc>
          <w:tcPr>
            <w:tcW w:w="992" w:type="dxa"/>
            <w:shd w:val="clear" w:color="auto" w:fill="auto"/>
          </w:tcPr>
          <w:p w:rsidR="004F7CBE" w:rsidRPr="00B529A4"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Výchozí hodnota</w:t>
            </w:r>
            <w:r w:rsidR="006C42D0">
              <w:rPr>
                <w:rFonts w:ascii="Times New Roman" w:hAnsi="Times New Roman" w:cs="Times New Roman"/>
                <w:b/>
                <w:sz w:val="20"/>
                <w:szCs w:val="20"/>
              </w:rPr>
              <w:t xml:space="preserve"> (2015)</w:t>
            </w:r>
            <w:r w:rsidRPr="00B529A4">
              <w:rPr>
                <w:rFonts w:ascii="Times New Roman" w:hAnsi="Times New Roman" w:cs="Times New Roman"/>
                <w:b/>
                <w:sz w:val="20"/>
                <w:szCs w:val="20"/>
              </w:rPr>
              <w:t xml:space="preserve"> </w:t>
            </w:r>
          </w:p>
        </w:tc>
        <w:tc>
          <w:tcPr>
            <w:tcW w:w="992" w:type="dxa"/>
            <w:shd w:val="clear" w:color="auto" w:fill="auto"/>
          </w:tcPr>
          <w:p w:rsidR="004F7CBE" w:rsidRPr="00B529A4"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Cílová hodnota</w:t>
            </w:r>
            <w:r w:rsidR="006C42D0">
              <w:rPr>
                <w:rFonts w:ascii="Times New Roman" w:hAnsi="Times New Roman" w:cs="Times New Roman"/>
                <w:b/>
                <w:sz w:val="20"/>
                <w:szCs w:val="20"/>
              </w:rPr>
              <w:t xml:space="preserve"> (2023)</w:t>
            </w:r>
          </w:p>
        </w:tc>
        <w:tc>
          <w:tcPr>
            <w:tcW w:w="993" w:type="dxa"/>
            <w:shd w:val="clear" w:color="auto" w:fill="auto"/>
          </w:tcPr>
          <w:p w:rsidR="004F7CBE" w:rsidRPr="00B529A4"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Milník</w:t>
            </w:r>
            <w:r w:rsidR="006C42D0">
              <w:rPr>
                <w:rFonts w:ascii="Times New Roman" w:hAnsi="Times New Roman" w:cs="Times New Roman"/>
                <w:b/>
                <w:sz w:val="20"/>
                <w:szCs w:val="20"/>
              </w:rPr>
              <w:t xml:space="preserve"> (2018)</w:t>
            </w:r>
          </w:p>
        </w:tc>
      </w:tr>
      <w:tr w:rsidR="004F7CBE" w:rsidRPr="00B529A4" w:rsidTr="00E97C05">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F7CBE" w:rsidRPr="005D0023" w:rsidRDefault="004F7CBE"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4F7CBE" w:rsidRPr="00A4259A"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259A">
              <w:rPr>
                <w:rFonts w:ascii="Times New Roman" w:hAnsi="Times New Roman" w:cs="Times New Roman"/>
                <w:sz w:val="20"/>
                <w:szCs w:val="20"/>
              </w:rPr>
              <w:t>5 54 01</w:t>
            </w:r>
          </w:p>
        </w:tc>
        <w:tc>
          <w:tcPr>
            <w:tcW w:w="1984" w:type="dxa"/>
            <w:shd w:val="clear" w:color="auto" w:fill="auto"/>
          </w:tcPr>
          <w:p w:rsidR="004F7CBE" w:rsidRPr="00A4259A"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259A">
              <w:rPr>
                <w:rFonts w:ascii="Times New Roman" w:hAnsi="Times New Roman" w:cs="Times New Roman"/>
                <w:sz w:val="20"/>
                <w:szCs w:val="20"/>
              </w:rPr>
              <w:t>Počet podpořených zázemí pro služby a sociální práci</w:t>
            </w:r>
          </w:p>
        </w:tc>
        <w:tc>
          <w:tcPr>
            <w:tcW w:w="1016" w:type="dxa"/>
            <w:shd w:val="clear" w:color="auto" w:fill="auto"/>
          </w:tcPr>
          <w:p w:rsidR="004F7CBE" w:rsidRPr="00A4259A" w:rsidRDefault="004F7CBE"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259A">
              <w:rPr>
                <w:rFonts w:ascii="Times New Roman" w:hAnsi="Times New Roman" w:cs="Times New Roman"/>
                <w:sz w:val="20"/>
                <w:szCs w:val="20"/>
              </w:rPr>
              <w:t>zázemí</w:t>
            </w:r>
          </w:p>
        </w:tc>
        <w:tc>
          <w:tcPr>
            <w:tcW w:w="992" w:type="dxa"/>
            <w:shd w:val="clear" w:color="auto" w:fill="auto"/>
            <w:vAlign w:val="center"/>
          </w:tcPr>
          <w:p w:rsidR="004F7CBE" w:rsidRPr="00B529A4" w:rsidRDefault="005C3989"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2" w:type="dxa"/>
            <w:shd w:val="clear" w:color="auto" w:fill="auto"/>
            <w:vAlign w:val="center"/>
          </w:tcPr>
          <w:p w:rsidR="004F7CBE" w:rsidRPr="00B529A4" w:rsidRDefault="00931A41"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993" w:type="dxa"/>
            <w:shd w:val="clear" w:color="auto" w:fill="auto"/>
            <w:vAlign w:val="center"/>
          </w:tcPr>
          <w:p w:rsidR="004F7CBE" w:rsidRPr="00B529A4" w:rsidRDefault="00791B71"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4F7CBE" w:rsidRPr="00B529A4" w:rsidTr="00E97C05">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F7CBE" w:rsidRPr="005D0023" w:rsidRDefault="004F7CBE"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4F7CBE" w:rsidRPr="00A4259A" w:rsidRDefault="004F7CBE" w:rsidP="00043B30">
            <w:pPr>
              <w:pStyle w:val="Bezmezer"/>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4259A">
              <w:rPr>
                <w:rFonts w:ascii="Times New Roman" w:hAnsi="Times New Roman" w:cs="Times New Roman"/>
                <w:sz w:val="20"/>
                <w:szCs w:val="20"/>
              </w:rPr>
              <w:t>5 54 02</w:t>
            </w:r>
          </w:p>
        </w:tc>
        <w:tc>
          <w:tcPr>
            <w:tcW w:w="1984" w:type="dxa"/>
            <w:shd w:val="clear" w:color="auto" w:fill="auto"/>
          </w:tcPr>
          <w:p w:rsidR="004F7CBE" w:rsidRPr="00A4259A"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4259A">
              <w:rPr>
                <w:rFonts w:ascii="Times New Roman" w:hAnsi="Times New Roman" w:cs="Times New Roman"/>
                <w:sz w:val="20"/>
                <w:szCs w:val="20"/>
              </w:rPr>
              <w:t>Počet poskytovaných druhů sociálních služeb</w:t>
            </w:r>
          </w:p>
        </w:tc>
        <w:tc>
          <w:tcPr>
            <w:tcW w:w="1016" w:type="dxa"/>
            <w:shd w:val="clear" w:color="auto" w:fill="auto"/>
          </w:tcPr>
          <w:p w:rsidR="004F7CBE" w:rsidRPr="00A4259A" w:rsidRDefault="004F7CB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4259A">
              <w:rPr>
                <w:rFonts w:ascii="Times New Roman" w:hAnsi="Times New Roman" w:cs="Times New Roman"/>
                <w:sz w:val="20"/>
                <w:szCs w:val="20"/>
              </w:rPr>
              <w:t>služby</w:t>
            </w:r>
          </w:p>
        </w:tc>
        <w:tc>
          <w:tcPr>
            <w:tcW w:w="992" w:type="dxa"/>
            <w:shd w:val="clear" w:color="auto" w:fill="auto"/>
            <w:vAlign w:val="center"/>
          </w:tcPr>
          <w:p w:rsidR="004F7CBE" w:rsidRPr="00B529A4" w:rsidRDefault="00791B71"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2" w:type="dxa"/>
            <w:shd w:val="clear" w:color="auto" w:fill="auto"/>
            <w:vAlign w:val="center"/>
          </w:tcPr>
          <w:p w:rsidR="004F7CBE" w:rsidRPr="00B529A4" w:rsidRDefault="00931A41"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993" w:type="dxa"/>
            <w:shd w:val="clear" w:color="auto" w:fill="auto"/>
            <w:vAlign w:val="center"/>
          </w:tcPr>
          <w:p w:rsidR="004F7CBE" w:rsidRPr="00B529A4" w:rsidRDefault="00791B71"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486809" w:rsidRPr="00B529A4" w:rsidTr="00E97C05">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86809" w:rsidRPr="005D0023" w:rsidRDefault="00486809"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486809" w:rsidRPr="001027C8" w:rsidRDefault="00486809" w:rsidP="00760166">
            <w:pPr>
              <w:pStyle w:val="Bezmeze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027C8">
              <w:rPr>
                <w:rFonts w:ascii="Times New Roman" w:hAnsi="Times New Roman" w:cs="Times New Roman"/>
                <w:sz w:val="20"/>
                <w:szCs w:val="20"/>
              </w:rPr>
              <w:t>5 53 01</w:t>
            </w:r>
          </w:p>
        </w:tc>
        <w:tc>
          <w:tcPr>
            <w:tcW w:w="1984" w:type="dxa"/>
            <w:shd w:val="clear" w:color="auto" w:fill="auto"/>
          </w:tcPr>
          <w:p w:rsidR="00486809" w:rsidRPr="001027C8" w:rsidRDefault="00486809" w:rsidP="0076016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027C8">
              <w:rPr>
                <w:rFonts w:ascii="Times New Roman" w:hAnsi="Times New Roman" w:cs="Times New Roman"/>
                <w:sz w:val="20"/>
                <w:szCs w:val="20"/>
              </w:rPr>
              <w:t>Počet podpořených bytů pro sociální bydlení</w:t>
            </w:r>
          </w:p>
        </w:tc>
        <w:tc>
          <w:tcPr>
            <w:tcW w:w="1016" w:type="dxa"/>
            <w:shd w:val="clear" w:color="auto" w:fill="auto"/>
          </w:tcPr>
          <w:p w:rsidR="00486809" w:rsidRPr="001027C8" w:rsidRDefault="00486809" w:rsidP="0076016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027C8">
              <w:rPr>
                <w:rFonts w:ascii="Times New Roman" w:hAnsi="Times New Roman" w:cs="Times New Roman"/>
                <w:sz w:val="20"/>
                <w:szCs w:val="20"/>
              </w:rPr>
              <w:t>bytová jednotka</w:t>
            </w:r>
          </w:p>
        </w:tc>
        <w:tc>
          <w:tcPr>
            <w:tcW w:w="992" w:type="dxa"/>
            <w:shd w:val="clear" w:color="auto" w:fill="auto"/>
            <w:vAlign w:val="center"/>
          </w:tcPr>
          <w:p w:rsidR="00486809" w:rsidRDefault="001027C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2" w:type="dxa"/>
            <w:shd w:val="clear" w:color="auto" w:fill="auto"/>
            <w:vAlign w:val="center"/>
          </w:tcPr>
          <w:p w:rsidR="00486809" w:rsidRDefault="001027C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993" w:type="dxa"/>
            <w:shd w:val="clear" w:color="auto" w:fill="auto"/>
            <w:vAlign w:val="center"/>
          </w:tcPr>
          <w:p w:rsidR="00486809" w:rsidRDefault="001027C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bl>
    <w:p w:rsidR="001247AD" w:rsidRDefault="001247AD">
      <w:pPr>
        <w:spacing w:before="0" w:after="160" w:line="259" w:lineRule="auto"/>
        <w:ind w:firstLine="0"/>
        <w:jc w:val="left"/>
        <w:rPr>
          <w:rFonts w:ascii="Times New Roman" w:hAnsi="Times New Roman" w:cs="Times New Roman"/>
          <w:b/>
          <w:bCs/>
          <w:sz w:val="20"/>
          <w:szCs w:val="20"/>
        </w:rPr>
      </w:pPr>
    </w:p>
    <w:p w:rsidR="00895827" w:rsidRDefault="00895827">
      <w:pPr>
        <w:spacing w:before="0" w:after="160" w:line="259" w:lineRule="auto"/>
        <w:ind w:firstLine="0"/>
        <w:jc w:val="left"/>
        <w:rPr>
          <w:rFonts w:ascii="Times New Roman" w:hAnsi="Times New Roman" w:cs="Times New Roman"/>
          <w:b/>
          <w:bCs/>
          <w:sz w:val="20"/>
          <w:szCs w:val="20"/>
        </w:rPr>
      </w:pPr>
    </w:p>
    <w:p w:rsidR="00CA17E7" w:rsidRDefault="00895827">
      <w:pPr>
        <w:spacing w:before="0" w:after="160" w:line="259"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br w:type="page"/>
      </w:r>
    </w:p>
    <w:tbl>
      <w:tblPr>
        <w:tblStyle w:val="Svtlmkazvraznn6"/>
        <w:tblW w:w="0" w:type="auto"/>
        <w:tblLayout w:type="fixed"/>
        <w:tblLook w:val="04A0" w:firstRow="1" w:lastRow="0" w:firstColumn="1" w:lastColumn="0" w:noHBand="0" w:noVBand="1"/>
      </w:tblPr>
      <w:tblGrid>
        <w:gridCol w:w="2093"/>
        <w:gridCol w:w="1134"/>
        <w:gridCol w:w="1984"/>
        <w:gridCol w:w="993"/>
        <w:gridCol w:w="992"/>
        <w:gridCol w:w="992"/>
        <w:gridCol w:w="872"/>
      </w:tblGrid>
      <w:tr w:rsidR="00776939" w:rsidRPr="00DF742C" w:rsidTr="00043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776939" w:rsidRPr="00DF742C" w:rsidRDefault="009C1513" w:rsidP="001027C8">
            <w:pPr>
              <w:ind w:firstLine="0"/>
              <w:jc w:val="left"/>
              <w:rPr>
                <w:rFonts w:ascii="Times New Roman" w:hAnsi="Times New Roman" w:cs="Times New Roman"/>
                <w:sz w:val="20"/>
                <w:szCs w:val="20"/>
              </w:rPr>
            </w:pPr>
            <w:r w:rsidRPr="00DF742C">
              <w:rPr>
                <w:rFonts w:ascii="Times New Roman" w:hAnsi="Times New Roman" w:cs="Times New Roman"/>
                <w:b w:val="0"/>
                <w:bCs w:val="0"/>
                <w:sz w:val="20"/>
                <w:szCs w:val="20"/>
              </w:rPr>
              <w:lastRenderedPageBreak/>
              <w:br w:type="page"/>
            </w:r>
            <w:r w:rsidR="0031596A">
              <w:rPr>
                <w:rFonts w:ascii="Times New Roman" w:hAnsi="Times New Roman" w:cs="Times New Roman"/>
                <w:sz w:val="20"/>
                <w:szCs w:val="20"/>
              </w:rPr>
              <w:t xml:space="preserve">Název opatření </w:t>
            </w:r>
            <w:r w:rsidR="00382A1A">
              <w:rPr>
                <w:rFonts w:ascii="Times New Roman" w:hAnsi="Times New Roman" w:cs="Times New Roman"/>
                <w:sz w:val="20"/>
                <w:szCs w:val="20"/>
              </w:rPr>
              <w:t>SCLLD</w:t>
            </w:r>
          </w:p>
        </w:tc>
        <w:tc>
          <w:tcPr>
            <w:tcW w:w="6967" w:type="dxa"/>
            <w:gridSpan w:val="6"/>
            <w:shd w:val="clear" w:color="auto" w:fill="E2EFD9" w:themeFill="accent6" w:themeFillTint="33"/>
          </w:tcPr>
          <w:p w:rsidR="00382A1A" w:rsidRPr="00DF742C" w:rsidRDefault="00382A1A" w:rsidP="004A408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Cs w:val="20"/>
              </w:rPr>
              <w:t>Sociální podnikání - zisk nejsou jen peníze</w:t>
            </w:r>
          </w:p>
        </w:tc>
      </w:tr>
      <w:tr w:rsidR="00776939" w:rsidRPr="00DF742C" w:rsidTr="00043B30">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1027C8" w:rsidRDefault="001027C8" w:rsidP="001027C8">
            <w:pPr>
              <w:ind w:firstLine="0"/>
              <w:jc w:val="left"/>
              <w:rPr>
                <w:rFonts w:ascii="Times New Roman" w:hAnsi="Times New Roman" w:cs="Times New Roman"/>
                <w:sz w:val="20"/>
                <w:szCs w:val="20"/>
              </w:rPr>
            </w:pPr>
            <w:r w:rsidRPr="00DF742C">
              <w:rPr>
                <w:rFonts w:ascii="Times New Roman" w:hAnsi="Times New Roman" w:cs="Times New Roman"/>
                <w:sz w:val="20"/>
                <w:szCs w:val="20"/>
              </w:rPr>
              <w:t>Vazba na specifický</w:t>
            </w:r>
            <w:r>
              <w:rPr>
                <w:rFonts w:ascii="Times New Roman" w:hAnsi="Times New Roman" w:cs="Times New Roman"/>
                <w:sz w:val="20"/>
                <w:szCs w:val="20"/>
              </w:rPr>
              <w:t xml:space="preserve"> </w:t>
            </w:r>
            <w:r w:rsidRPr="00DF742C">
              <w:rPr>
                <w:rFonts w:ascii="Times New Roman" w:hAnsi="Times New Roman" w:cs="Times New Roman"/>
                <w:sz w:val="20"/>
                <w:szCs w:val="20"/>
              </w:rPr>
              <w:t>cíl SCLLD</w:t>
            </w:r>
            <w:r>
              <w:rPr>
                <w:rFonts w:ascii="Times New Roman" w:hAnsi="Times New Roman" w:cs="Times New Roman"/>
                <w:sz w:val="20"/>
                <w:szCs w:val="20"/>
              </w:rPr>
              <w:t xml:space="preserve"> </w:t>
            </w:r>
          </w:p>
          <w:p w:rsidR="00776939" w:rsidRPr="00DF742C" w:rsidRDefault="00776939" w:rsidP="00C35CCE">
            <w:pPr>
              <w:ind w:firstLine="0"/>
              <w:jc w:val="left"/>
              <w:rPr>
                <w:rFonts w:ascii="Times New Roman" w:hAnsi="Times New Roman" w:cs="Times New Roman"/>
                <w:sz w:val="20"/>
                <w:szCs w:val="20"/>
              </w:rPr>
            </w:pPr>
          </w:p>
        </w:tc>
        <w:tc>
          <w:tcPr>
            <w:tcW w:w="6967" w:type="dxa"/>
            <w:gridSpan w:val="6"/>
            <w:shd w:val="clear" w:color="auto" w:fill="E2EFD9" w:themeFill="accent6" w:themeFillTint="33"/>
          </w:tcPr>
          <w:p w:rsidR="001027C8" w:rsidRPr="00E97C05" w:rsidRDefault="001027C8" w:rsidP="001027C8">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97C05">
              <w:rPr>
                <w:rFonts w:ascii="Times New Roman" w:hAnsi="Times New Roman" w:cs="Times New Roman"/>
                <w:b/>
                <w:sz w:val="20"/>
                <w:szCs w:val="20"/>
              </w:rPr>
              <w:t>Specifický cíl: 2.5 Podpora činnosti místních podnikatelů-sociálních a integračních sociálních podniků</w:t>
            </w:r>
          </w:p>
          <w:p w:rsidR="00776939" w:rsidRPr="00E97C05" w:rsidRDefault="00776939" w:rsidP="00C35CCE">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776939" w:rsidRPr="00DF742C" w:rsidTr="00043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1027C8" w:rsidRPr="00DF742C" w:rsidRDefault="001027C8" w:rsidP="001027C8">
            <w:pPr>
              <w:ind w:firstLine="0"/>
              <w:jc w:val="left"/>
              <w:rPr>
                <w:rFonts w:ascii="Times New Roman" w:hAnsi="Times New Roman" w:cs="Times New Roman"/>
                <w:sz w:val="20"/>
                <w:szCs w:val="20"/>
              </w:rPr>
            </w:pPr>
            <w:r w:rsidRPr="00DF742C">
              <w:rPr>
                <w:rFonts w:ascii="Times New Roman" w:hAnsi="Times New Roman" w:cs="Times New Roman"/>
                <w:sz w:val="20"/>
                <w:szCs w:val="20"/>
              </w:rPr>
              <w:t>Vazba na specifický cíl Operačního programu IROP</w:t>
            </w:r>
          </w:p>
        </w:tc>
        <w:tc>
          <w:tcPr>
            <w:tcW w:w="6967" w:type="dxa"/>
            <w:gridSpan w:val="6"/>
            <w:shd w:val="clear" w:color="auto" w:fill="E2EFD9" w:themeFill="accent6" w:themeFillTint="33"/>
          </w:tcPr>
          <w:p w:rsidR="001027C8" w:rsidRPr="00E97C05" w:rsidRDefault="001027C8" w:rsidP="00C35CCE">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E97C05">
              <w:rPr>
                <w:rFonts w:ascii="Times New Roman" w:hAnsi="Times New Roman" w:cs="Times New Roman"/>
                <w:b/>
                <w:sz w:val="20"/>
                <w:szCs w:val="20"/>
              </w:rPr>
              <w:t>4.1 Posílení komunitně vedeného místního rozvoje za účelem zvýšení kvality života ve venkovských oblastech a aktivizace místního potenciálu</w:t>
            </w:r>
          </w:p>
          <w:p w:rsidR="001027C8" w:rsidRPr="00E97C05" w:rsidRDefault="001027C8" w:rsidP="00C35CCE">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E97C05">
              <w:rPr>
                <w:rFonts w:ascii="Times New Roman" w:hAnsi="Times New Roman" w:cs="Times New Roman"/>
                <w:b/>
                <w:bCs/>
                <w:sz w:val="20"/>
                <w:szCs w:val="20"/>
              </w:rPr>
              <w:t>2.2 Vznik nových a rozvoj existujících podnikatelských aktivit v oblasti sociálního podnikání</w:t>
            </w:r>
          </w:p>
        </w:tc>
      </w:tr>
      <w:tr w:rsidR="00776939" w:rsidRPr="00DF742C" w:rsidTr="0004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776939" w:rsidRPr="00DF742C" w:rsidRDefault="00EF1EB8" w:rsidP="00C35CCE">
            <w:pPr>
              <w:ind w:firstLine="0"/>
              <w:jc w:val="left"/>
              <w:rPr>
                <w:rFonts w:ascii="Times New Roman" w:hAnsi="Times New Roman" w:cs="Times New Roman"/>
                <w:sz w:val="20"/>
                <w:szCs w:val="20"/>
              </w:rPr>
            </w:pPr>
            <w:r>
              <w:rPr>
                <w:rFonts w:ascii="Times New Roman" w:hAnsi="Times New Roman" w:cs="Times New Roman"/>
                <w:sz w:val="20"/>
                <w:szCs w:val="20"/>
              </w:rPr>
              <w:t xml:space="preserve">Popis opatření </w:t>
            </w:r>
          </w:p>
        </w:tc>
        <w:tc>
          <w:tcPr>
            <w:tcW w:w="6967" w:type="dxa"/>
            <w:gridSpan w:val="6"/>
            <w:shd w:val="clear" w:color="auto" w:fill="auto"/>
          </w:tcPr>
          <w:p w:rsidR="0080701A" w:rsidRDefault="0080701A" w:rsidP="0080701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w:t>
            </w:r>
            <w:r w:rsidRPr="003D3FAC">
              <w:rPr>
                <w:rFonts w:ascii="Times New Roman" w:hAnsi="Times New Roman" w:cs="Times New Roman"/>
                <w:sz w:val="20"/>
                <w:szCs w:val="20"/>
              </w:rPr>
              <w:t>ozvoj sociálního podnikání</w:t>
            </w:r>
            <w:r>
              <w:rPr>
                <w:rFonts w:ascii="Times New Roman" w:hAnsi="Times New Roman" w:cs="Times New Roman"/>
                <w:sz w:val="20"/>
                <w:szCs w:val="20"/>
              </w:rPr>
              <w:t xml:space="preserve"> přispívá k řešení </w:t>
            </w:r>
            <w:r w:rsidRPr="003D3FAC">
              <w:rPr>
                <w:rFonts w:ascii="Times New Roman" w:hAnsi="Times New Roman" w:cs="Times New Roman"/>
                <w:sz w:val="20"/>
                <w:szCs w:val="20"/>
              </w:rPr>
              <w:t>nepříznivé situace sociálně vyloučených a sociálním vyloučením ohrožených osob</w:t>
            </w:r>
            <w:r>
              <w:rPr>
                <w:rFonts w:ascii="Times New Roman" w:hAnsi="Times New Roman" w:cs="Times New Roman"/>
                <w:sz w:val="20"/>
                <w:szCs w:val="20"/>
              </w:rPr>
              <w:t xml:space="preserve">. Současně je však potřeba podpořit i rozvoj, rozšiřování kapacit a </w:t>
            </w:r>
            <w:r w:rsidRPr="003D3FAC">
              <w:rPr>
                <w:rFonts w:ascii="Times New Roman" w:hAnsi="Times New Roman" w:cs="Times New Roman"/>
                <w:sz w:val="20"/>
                <w:szCs w:val="20"/>
              </w:rPr>
              <w:t>inovativní řešení ve stávajících sociálních podnicích</w:t>
            </w:r>
            <w:r>
              <w:rPr>
                <w:rFonts w:ascii="Times New Roman" w:hAnsi="Times New Roman" w:cs="Times New Roman"/>
                <w:sz w:val="20"/>
                <w:szCs w:val="20"/>
              </w:rPr>
              <w:t xml:space="preserve">. </w:t>
            </w:r>
          </w:p>
          <w:p w:rsidR="0080701A" w:rsidRDefault="0080701A" w:rsidP="0080701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D3163">
              <w:rPr>
                <w:rFonts w:ascii="Times New Roman" w:hAnsi="Times New Roman" w:cs="Times New Roman"/>
                <w:sz w:val="20"/>
                <w:szCs w:val="20"/>
              </w:rPr>
              <w:t>Sociální podnikání řeší prostřednictvím samostatné podnikatelské aktivity a účasti na trhu práce otázky nezaměstnanosti, sociální soudržnosti a místního rozvoje a svou činností podporuje solidární chování, sociální začleňování a růst sociálního kapitálu na místní úrovni</w:t>
            </w:r>
            <w:r>
              <w:rPr>
                <w:rFonts w:ascii="Times New Roman" w:hAnsi="Times New Roman" w:cs="Times New Roman"/>
                <w:sz w:val="20"/>
                <w:szCs w:val="20"/>
              </w:rPr>
              <w:t xml:space="preserve">. </w:t>
            </w:r>
            <w:r w:rsidRPr="007D3163">
              <w:rPr>
                <w:rFonts w:ascii="Times New Roman" w:hAnsi="Times New Roman" w:cs="Times New Roman"/>
                <w:sz w:val="20"/>
                <w:szCs w:val="20"/>
              </w:rPr>
              <w:t>Sociální firma nabízí pracovní uplatnění znevýhodněným lidem</w:t>
            </w:r>
            <w:r>
              <w:rPr>
                <w:rFonts w:ascii="Times New Roman" w:hAnsi="Times New Roman" w:cs="Times New Roman"/>
                <w:sz w:val="20"/>
                <w:szCs w:val="20"/>
              </w:rPr>
              <w:t xml:space="preserve"> (m</w:t>
            </w:r>
            <w:r w:rsidRPr="007D3163">
              <w:rPr>
                <w:rFonts w:ascii="Times New Roman" w:hAnsi="Times New Roman" w:cs="Times New Roman"/>
                <w:sz w:val="20"/>
                <w:szCs w:val="20"/>
              </w:rPr>
              <w:t xml:space="preserve">ezi </w:t>
            </w:r>
            <w:r>
              <w:rPr>
                <w:rFonts w:ascii="Times New Roman" w:hAnsi="Times New Roman" w:cs="Times New Roman"/>
                <w:sz w:val="20"/>
                <w:szCs w:val="20"/>
              </w:rPr>
              <w:t>které patří nejvíce z pohledu trhu práce,</w:t>
            </w:r>
            <w:r w:rsidRPr="007D3163">
              <w:rPr>
                <w:rFonts w:ascii="Times New Roman" w:hAnsi="Times New Roman" w:cs="Times New Roman"/>
                <w:sz w:val="20"/>
                <w:szCs w:val="20"/>
              </w:rPr>
              <w:t xml:space="preserve"> osoby s nízkou kvalifikací, osoby starší 55 let, osoby se zdravotním postižením, matky s malými dětmi, absolventi, obyvatelé sociálně vyloučených lokalit a etnické menšiny, zejména Romové</w:t>
            </w:r>
            <w:r>
              <w:rPr>
                <w:rFonts w:ascii="Times New Roman" w:hAnsi="Times New Roman" w:cs="Times New Roman"/>
                <w:sz w:val="20"/>
                <w:szCs w:val="20"/>
              </w:rPr>
              <w:t>)</w:t>
            </w:r>
            <w:r w:rsidRPr="007D3163">
              <w:rPr>
                <w:rFonts w:ascii="Times New Roman" w:hAnsi="Times New Roman" w:cs="Times New Roman"/>
                <w:sz w:val="20"/>
                <w:szCs w:val="20"/>
              </w:rPr>
              <w:t>, kteří by se jinak obtížně uplatnili na pracovním trhu, a přispívá ke snižování nezaměstnanost</w:t>
            </w:r>
            <w:r>
              <w:rPr>
                <w:rFonts w:ascii="Times New Roman" w:hAnsi="Times New Roman" w:cs="Times New Roman"/>
                <w:sz w:val="20"/>
                <w:szCs w:val="20"/>
              </w:rPr>
              <w:t xml:space="preserve">i. </w:t>
            </w:r>
          </w:p>
          <w:p w:rsidR="0080701A" w:rsidRDefault="0080701A" w:rsidP="0080701A">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 ohledem na n</w:t>
            </w:r>
            <w:r w:rsidRPr="00DF742C">
              <w:rPr>
                <w:rFonts w:ascii="Times New Roman" w:hAnsi="Times New Roman" w:cs="Times New Roman"/>
                <w:sz w:val="20"/>
                <w:szCs w:val="20"/>
              </w:rPr>
              <w:t>árůst počtu neza</w:t>
            </w:r>
            <w:r w:rsidR="00904D1F">
              <w:rPr>
                <w:rFonts w:ascii="Times New Roman" w:hAnsi="Times New Roman" w:cs="Times New Roman"/>
                <w:sz w:val="20"/>
                <w:szCs w:val="20"/>
              </w:rPr>
              <w:t>městnaných (mladých, žen</w:t>
            </w:r>
            <w:r w:rsidRPr="00DF742C">
              <w:rPr>
                <w:rFonts w:ascii="Times New Roman" w:hAnsi="Times New Roman" w:cs="Times New Roman"/>
                <w:sz w:val="20"/>
                <w:szCs w:val="20"/>
              </w:rPr>
              <w:t xml:space="preserve">, </w:t>
            </w:r>
            <w:r w:rsidR="00904D1F">
              <w:rPr>
                <w:rFonts w:ascii="Times New Roman" w:hAnsi="Times New Roman" w:cs="Times New Roman"/>
                <w:sz w:val="20"/>
                <w:szCs w:val="20"/>
              </w:rPr>
              <w:t xml:space="preserve">osob se </w:t>
            </w:r>
            <w:r w:rsidRPr="00DF742C">
              <w:rPr>
                <w:rFonts w:ascii="Times New Roman" w:hAnsi="Times New Roman" w:cs="Times New Roman"/>
                <w:sz w:val="20"/>
                <w:szCs w:val="20"/>
              </w:rPr>
              <w:t>základní</w:t>
            </w:r>
            <w:r w:rsidR="00904D1F">
              <w:rPr>
                <w:rFonts w:ascii="Times New Roman" w:hAnsi="Times New Roman" w:cs="Times New Roman"/>
                <w:sz w:val="20"/>
                <w:szCs w:val="20"/>
              </w:rPr>
              <w:t>m</w:t>
            </w:r>
            <w:r w:rsidRPr="00DF742C">
              <w:rPr>
                <w:rFonts w:ascii="Times New Roman" w:hAnsi="Times New Roman" w:cs="Times New Roman"/>
                <w:sz w:val="20"/>
                <w:szCs w:val="20"/>
              </w:rPr>
              <w:t xml:space="preserve"> vzdělání</w:t>
            </w:r>
            <w:r w:rsidR="00904D1F">
              <w:rPr>
                <w:rFonts w:ascii="Times New Roman" w:hAnsi="Times New Roman" w:cs="Times New Roman"/>
                <w:sz w:val="20"/>
                <w:szCs w:val="20"/>
              </w:rPr>
              <w:t>m</w:t>
            </w:r>
            <w:r w:rsidRPr="00DF742C">
              <w:rPr>
                <w:rFonts w:ascii="Times New Roman" w:hAnsi="Times New Roman" w:cs="Times New Roman"/>
                <w:sz w:val="20"/>
                <w:szCs w:val="20"/>
              </w:rPr>
              <w:t>)</w:t>
            </w:r>
            <w:r>
              <w:rPr>
                <w:rFonts w:ascii="Times New Roman" w:hAnsi="Times New Roman" w:cs="Times New Roman"/>
                <w:sz w:val="20"/>
                <w:szCs w:val="20"/>
              </w:rPr>
              <w:t xml:space="preserve"> a </w:t>
            </w:r>
            <w:r w:rsidR="00904D1F">
              <w:rPr>
                <w:rFonts w:ascii="Times New Roman" w:hAnsi="Times New Roman" w:cs="Times New Roman"/>
                <w:sz w:val="20"/>
                <w:szCs w:val="20"/>
              </w:rPr>
              <w:t xml:space="preserve">současně tak umožnit </w:t>
            </w:r>
            <w:r w:rsidRPr="00DF742C">
              <w:rPr>
                <w:rFonts w:ascii="Times New Roman" w:hAnsi="Times New Roman" w:cs="Times New Roman"/>
                <w:sz w:val="20"/>
                <w:szCs w:val="20"/>
              </w:rPr>
              <w:t>sociálně vyloučeným osobám a osobám ohroženým sociálním vyloučením vstup na trh práce a do podnikatelského pro</w:t>
            </w:r>
            <w:r>
              <w:rPr>
                <w:rFonts w:ascii="Times New Roman" w:hAnsi="Times New Roman" w:cs="Times New Roman"/>
                <w:sz w:val="20"/>
                <w:szCs w:val="20"/>
              </w:rPr>
              <w:t xml:space="preserve">středí, je podpora sociálního podnikání na území MAS potřebná. </w:t>
            </w:r>
          </w:p>
          <w:p w:rsidR="005F4D8D" w:rsidRPr="00DF742C" w:rsidRDefault="00904D1F" w:rsidP="004A4088">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0"/>
                <w:szCs w:val="20"/>
              </w:rPr>
              <w:t xml:space="preserve">Cílem opatření </w:t>
            </w:r>
            <w:r w:rsidR="004A4088">
              <w:rPr>
                <w:rFonts w:ascii="Times New Roman" w:hAnsi="Times New Roman" w:cs="Times New Roman"/>
                <w:sz w:val="20"/>
                <w:szCs w:val="20"/>
              </w:rPr>
              <w:t>je podpora</w:t>
            </w:r>
            <w:r>
              <w:rPr>
                <w:rFonts w:ascii="Times New Roman" w:hAnsi="Times New Roman" w:cs="Times New Roman"/>
                <w:sz w:val="20"/>
                <w:szCs w:val="20"/>
              </w:rPr>
              <w:t xml:space="preserve"> vzniku sociálních podniků</w:t>
            </w:r>
            <w:r w:rsidR="004A4088">
              <w:rPr>
                <w:rFonts w:ascii="Times New Roman" w:hAnsi="Times New Roman" w:cs="Times New Roman"/>
                <w:sz w:val="20"/>
                <w:szCs w:val="20"/>
              </w:rPr>
              <w:t xml:space="preserve"> a</w:t>
            </w:r>
            <w:r w:rsidR="005D0023">
              <w:rPr>
                <w:rFonts w:ascii="Times New Roman" w:hAnsi="Times New Roman" w:cs="Times New Roman"/>
                <w:sz w:val="20"/>
                <w:szCs w:val="20"/>
              </w:rPr>
              <w:t xml:space="preserve"> rozvoje podnikatelských aktivit v oblasti sociálního podniká</w:t>
            </w:r>
            <w:r w:rsidR="004A4088">
              <w:rPr>
                <w:rFonts w:ascii="Times New Roman" w:hAnsi="Times New Roman" w:cs="Times New Roman"/>
                <w:sz w:val="20"/>
                <w:szCs w:val="20"/>
              </w:rPr>
              <w:t>ní prostřednictvím investic do výstavby, rekonstrukce a vybavení sociálních podniků.</w:t>
            </w:r>
          </w:p>
        </w:tc>
      </w:tr>
      <w:tr w:rsidR="00776939" w:rsidRPr="00DF742C" w:rsidTr="00043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776939" w:rsidRPr="00DF742C" w:rsidRDefault="0031596A" w:rsidP="0031596A">
            <w:pPr>
              <w:ind w:firstLine="0"/>
              <w:jc w:val="left"/>
              <w:rPr>
                <w:rFonts w:ascii="Times New Roman" w:hAnsi="Times New Roman" w:cs="Times New Roman"/>
                <w:sz w:val="20"/>
                <w:szCs w:val="20"/>
              </w:rPr>
            </w:pPr>
            <w:r>
              <w:rPr>
                <w:rFonts w:ascii="Times New Roman" w:hAnsi="Times New Roman" w:cs="Times New Roman"/>
                <w:sz w:val="20"/>
                <w:szCs w:val="20"/>
              </w:rPr>
              <w:t>Další podmínky a omezení</w:t>
            </w:r>
            <w:r w:rsidR="00776939" w:rsidRPr="00DF742C">
              <w:rPr>
                <w:rFonts w:ascii="Times New Roman" w:hAnsi="Times New Roman" w:cs="Times New Roman"/>
                <w:sz w:val="20"/>
                <w:szCs w:val="20"/>
              </w:rPr>
              <w:t xml:space="preserve"> </w:t>
            </w:r>
          </w:p>
        </w:tc>
        <w:tc>
          <w:tcPr>
            <w:tcW w:w="6967" w:type="dxa"/>
            <w:gridSpan w:val="6"/>
            <w:shd w:val="clear" w:color="auto" w:fill="auto"/>
          </w:tcPr>
          <w:p w:rsidR="0097233D" w:rsidRDefault="0097233D" w:rsidP="0097233D">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 xml:space="preserve">Budou podpořeny projekty v souladu s nařízením Komise č. 1407/2013 ze dne 18. prosince 2013 o použití článku 107 a 108 Smlouvy o fungování Evropské unie na podporu </w:t>
            </w:r>
            <w:r w:rsidRPr="00FC064D">
              <w:rPr>
                <w:rFonts w:ascii="Times New Roman" w:hAnsi="Times New Roman" w:cs="Times New Roman"/>
                <w:b/>
                <w:sz w:val="20"/>
                <w:szCs w:val="20"/>
              </w:rPr>
              <w:t>de minimis</w:t>
            </w:r>
            <w:r w:rsidRPr="00755AA3">
              <w:rPr>
                <w:rFonts w:ascii="Times New Roman" w:hAnsi="Times New Roman" w:cs="Times New Roman"/>
                <w:sz w:val="20"/>
                <w:szCs w:val="20"/>
              </w:rPr>
              <w:t>. Celková výše podpory de minimis poskytnutá jednomu podniku nepřesáhne v tříletém období částku 200 000 EUR bez ohledu na formu podpory nebo jejím sledovaném cíli a nezávisle na tom, zda je poskytnutá podpora financována ze zdrojů EU zcela nebo částečně.</w:t>
            </w:r>
          </w:p>
          <w:p w:rsidR="0097233D" w:rsidRDefault="0097233D" w:rsidP="0097233D">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Žadatel předkládá se žádostí o podporu podnikatelský plán</w:t>
            </w:r>
            <w:r>
              <w:rPr>
                <w:rFonts w:ascii="Times New Roman" w:hAnsi="Times New Roman" w:cs="Times New Roman"/>
                <w:sz w:val="20"/>
                <w:szCs w:val="20"/>
              </w:rPr>
              <w:t>.</w:t>
            </w:r>
          </w:p>
          <w:p w:rsidR="0097233D" w:rsidRDefault="0097233D" w:rsidP="0097233D">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Podpora nemůže být chápá</w:t>
            </w:r>
            <w:r w:rsidRPr="00755AA3">
              <w:rPr>
                <w:rFonts w:ascii="Times New Roman" w:hAnsi="Times New Roman" w:cs="Times New Roman"/>
                <w:sz w:val="20"/>
                <w:szCs w:val="20"/>
              </w:rPr>
              <w:t>na pouze jako dotace na zřízení pracovních míst pro znevýhodněné zaměstnance</w:t>
            </w:r>
            <w:r>
              <w:rPr>
                <w:rFonts w:ascii="Times New Roman" w:hAnsi="Times New Roman" w:cs="Times New Roman"/>
                <w:sz w:val="20"/>
                <w:szCs w:val="20"/>
              </w:rPr>
              <w:t>.</w:t>
            </w:r>
          </w:p>
          <w:p w:rsidR="00776939" w:rsidRPr="00DF742C" w:rsidRDefault="0097233D" w:rsidP="0097233D">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Nelze financovat stávající podnikatelské aktivity ani provozní výdaje žadatele. Způsobilé výdaje projektu se týkají pouze rozšíření společnosti. Musí dojít k vytvoření nových pracovních míst pro osoby ze znevýhodněných cílových skupin. Požadován je růst počtu zaměstnaných osob z cílových skupin, který nesmí nastat předchozím snížením stávajícího počtu zaměstnanců.</w:t>
            </w:r>
          </w:p>
        </w:tc>
      </w:tr>
      <w:tr w:rsidR="00776939" w:rsidRPr="00DF742C" w:rsidTr="0004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776939" w:rsidRPr="00DF742C" w:rsidRDefault="0031596A" w:rsidP="00C35CCE">
            <w:pPr>
              <w:ind w:firstLine="0"/>
              <w:jc w:val="left"/>
              <w:rPr>
                <w:rFonts w:ascii="Times New Roman" w:hAnsi="Times New Roman" w:cs="Times New Roman"/>
                <w:sz w:val="20"/>
                <w:szCs w:val="20"/>
              </w:rPr>
            </w:pPr>
            <w:r>
              <w:rPr>
                <w:rFonts w:ascii="Times New Roman" w:hAnsi="Times New Roman" w:cs="Times New Roman"/>
                <w:sz w:val="20"/>
                <w:szCs w:val="20"/>
              </w:rPr>
              <w:lastRenderedPageBreak/>
              <w:t>Oprávnění příjemci podpory</w:t>
            </w:r>
            <w:r w:rsidR="00776939" w:rsidRPr="00DF742C">
              <w:rPr>
                <w:rFonts w:ascii="Times New Roman" w:hAnsi="Times New Roman" w:cs="Times New Roman"/>
                <w:sz w:val="20"/>
                <w:szCs w:val="20"/>
              </w:rPr>
              <w:t xml:space="preserve"> </w:t>
            </w:r>
          </w:p>
        </w:tc>
        <w:tc>
          <w:tcPr>
            <w:tcW w:w="6967" w:type="dxa"/>
            <w:gridSpan w:val="6"/>
            <w:shd w:val="clear" w:color="auto" w:fill="auto"/>
          </w:tcPr>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osoby samostatně výdělečné činné</w:t>
            </w:r>
          </w:p>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malé a střední podniky</w:t>
            </w:r>
          </w:p>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obce</w:t>
            </w:r>
          </w:p>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 xml:space="preserve"> kraje</w:t>
            </w:r>
          </w:p>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organizace zřizované nebo zakládané kraji</w:t>
            </w:r>
          </w:p>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organizace zřizované nebo zakládané obcemi</w:t>
            </w:r>
          </w:p>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dobrovolné svazky obcí</w:t>
            </w:r>
          </w:p>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organizace zřizované nebo zakládané dobrovolnými svazky obcí</w:t>
            </w:r>
          </w:p>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nestátní neziskové organizace</w:t>
            </w:r>
          </w:p>
          <w:p w:rsid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církve</w:t>
            </w:r>
          </w:p>
          <w:p w:rsidR="00776939" w:rsidRPr="00904D1F" w:rsidRDefault="00904D1F" w:rsidP="00710A9B">
            <w:pPr>
              <w:pStyle w:val="Odstavecseseznamem"/>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4D1F">
              <w:rPr>
                <w:rFonts w:ascii="Times New Roman" w:hAnsi="Times New Roman" w:cs="Times New Roman"/>
                <w:sz w:val="20"/>
                <w:szCs w:val="20"/>
              </w:rPr>
              <w:t>církevní organizace</w:t>
            </w:r>
          </w:p>
        </w:tc>
      </w:tr>
      <w:tr w:rsidR="00904D1F" w:rsidRPr="00DF742C" w:rsidTr="00043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904D1F" w:rsidRPr="00DF742C" w:rsidRDefault="00904D1F" w:rsidP="00C35CCE">
            <w:pPr>
              <w:ind w:firstLine="0"/>
              <w:jc w:val="left"/>
              <w:rPr>
                <w:rFonts w:ascii="Times New Roman" w:hAnsi="Times New Roman" w:cs="Times New Roman"/>
                <w:sz w:val="20"/>
                <w:szCs w:val="20"/>
              </w:rPr>
            </w:pPr>
            <w:r w:rsidRPr="00DF742C">
              <w:rPr>
                <w:rFonts w:ascii="Times New Roman" w:hAnsi="Times New Roman" w:cs="Times New Roman"/>
                <w:sz w:val="20"/>
                <w:szCs w:val="20"/>
              </w:rPr>
              <w:t>Minimální a maximální výše způsobilých výdajů</w:t>
            </w:r>
          </w:p>
        </w:tc>
        <w:tc>
          <w:tcPr>
            <w:tcW w:w="6967" w:type="dxa"/>
            <w:gridSpan w:val="6"/>
            <w:shd w:val="clear" w:color="auto" w:fill="auto"/>
          </w:tcPr>
          <w:p w:rsidR="00265985" w:rsidRPr="00DF742C" w:rsidRDefault="00265985" w:rsidP="00265985">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 xml:space="preserve">Minimální výše celkových způsobilých výdajů: 100 000,- </w:t>
            </w:r>
          </w:p>
          <w:p w:rsidR="00904D1F" w:rsidRPr="00DF742C" w:rsidRDefault="00265985" w:rsidP="00265985">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Maximální výše celkových způsobilých výdajů bude stanovena až na konkrétní výzvě MAS.</w:t>
            </w:r>
          </w:p>
        </w:tc>
      </w:tr>
      <w:tr w:rsidR="00904D1F" w:rsidRPr="00DF742C" w:rsidTr="0004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904D1F" w:rsidRPr="00DF742C" w:rsidRDefault="00904D1F" w:rsidP="00C35CCE">
            <w:pPr>
              <w:ind w:firstLine="0"/>
              <w:jc w:val="left"/>
              <w:rPr>
                <w:rFonts w:ascii="Times New Roman" w:hAnsi="Times New Roman" w:cs="Times New Roman"/>
                <w:sz w:val="20"/>
                <w:szCs w:val="20"/>
              </w:rPr>
            </w:pPr>
            <w:r w:rsidRPr="00DF742C">
              <w:rPr>
                <w:rFonts w:ascii="Times New Roman" w:hAnsi="Times New Roman" w:cs="Times New Roman"/>
                <w:sz w:val="20"/>
                <w:szCs w:val="20"/>
              </w:rPr>
              <w:t>Principy pro určení preferenčních kritérií</w:t>
            </w:r>
          </w:p>
        </w:tc>
        <w:tc>
          <w:tcPr>
            <w:tcW w:w="6967" w:type="dxa"/>
            <w:gridSpan w:val="6"/>
            <w:shd w:val="clear" w:color="auto" w:fill="auto"/>
          </w:tcPr>
          <w:p w:rsidR="00904D1F" w:rsidRPr="00DF742C" w:rsidRDefault="00904D1F" w:rsidP="00502E6D">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Konkrétní preferenční kritéria budou nastavena vždy s výzvou MAS.</w:t>
            </w:r>
          </w:p>
          <w:p w:rsidR="00904D1F" w:rsidRPr="00DF742C" w:rsidRDefault="00904D1F" w:rsidP="00502E6D">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Principy pro zaměření preferenčních kritérií:</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1. Zvýšení zaměstnanosti v území MAS SKCH (např. vytvoření každého nového pracovního místa)</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2. Uplatňování inovačních přístupů</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3. Uplatňování integračních přístupů</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4. Projekty se zkrácenou dobou realizace (méně než 12 měsíců) ve výzvách 2016, 2017</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5. Dopad projektu na více obcí či jejich částí na území MAS SKCH</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6. Rozvoj a podpora stávajícího potenciálu území (např. využití stávajících objektů a zařízení</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7. Zaměření dopadu projektu na ženy v aktivním věku, nebo osoby ohrožené sociálním vyloučením</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8. Návaznost na další opatření ve strategii CLLD, nebo na již realizované projekty či záměry jiných subjektů</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9. Projekt má pozitivní vliv na životní prostředí, 3E</w:t>
            </w:r>
          </w:p>
          <w:p w:rsidR="00904D1F" w:rsidRPr="00DF742C" w:rsidRDefault="00904D1F" w:rsidP="00502E6D">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10. Propagace přínosu projektu (na základě nepovinné přílohy) a spolupráce s MAS</w:t>
            </w:r>
          </w:p>
        </w:tc>
      </w:tr>
      <w:tr w:rsidR="00904D1F" w:rsidRPr="00DF742C" w:rsidTr="00043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904D1F" w:rsidRPr="00DF742C" w:rsidRDefault="00904D1F" w:rsidP="00C35CCE">
            <w:pPr>
              <w:ind w:firstLine="0"/>
              <w:jc w:val="left"/>
              <w:rPr>
                <w:rFonts w:ascii="Times New Roman" w:hAnsi="Times New Roman" w:cs="Times New Roman"/>
                <w:sz w:val="20"/>
                <w:szCs w:val="20"/>
              </w:rPr>
            </w:pPr>
            <w:r>
              <w:rPr>
                <w:rFonts w:ascii="Times New Roman" w:hAnsi="Times New Roman" w:cs="Times New Roman"/>
                <w:sz w:val="20"/>
                <w:szCs w:val="20"/>
              </w:rPr>
              <w:t>Typy projektů</w:t>
            </w:r>
          </w:p>
        </w:tc>
        <w:tc>
          <w:tcPr>
            <w:tcW w:w="6967" w:type="dxa"/>
            <w:gridSpan w:val="6"/>
            <w:shd w:val="clear" w:color="auto" w:fill="auto"/>
          </w:tcPr>
          <w:p w:rsidR="00904D1F" w:rsidRDefault="004A4088" w:rsidP="00502E6D">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u w:val="single"/>
              </w:rPr>
            </w:pPr>
            <w:r>
              <w:rPr>
                <w:rFonts w:ascii="Times New Roman" w:hAnsi="Times New Roman" w:cs="Times New Roman"/>
                <w:sz w:val="20"/>
                <w:szCs w:val="20"/>
                <w:u w:val="single"/>
              </w:rPr>
              <w:t xml:space="preserve">1) </w:t>
            </w:r>
            <w:r w:rsidR="00904D1F" w:rsidRPr="00904D1F">
              <w:rPr>
                <w:rFonts w:ascii="Times New Roman" w:hAnsi="Times New Roman" w:cs="Times New Roman"/>
                <w:sz w:val="20"/>
                <w:szCs w:val="20"/>
                <w:u w:val="single"/>
              </w:rPr>
              <w:t>Vznik nového sociálního podniku</w:t>
            </w:r>
          </w:p>
          <w:p w:rsidR="00904D1F" w:rsidRDefault="00C377BF" w:rsidP="00710A9B">
            <w:pPr>
              <w:pStyle w:val="Odstavecseseznamem"/>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w:t>
            </w:r>
            <w:r w:rsidR="00904D1F" w:rsidRPr="00904D1F">
              <w:rPr>
                <w:rFonts w:ascii="Times New Roman" w:hAnsi="Times New Roman" w:cs="Times New Roman"/>
                <w:sz w:val="20"/>
                <w:szCs w:val="20"/>
              </w:rPr>
              <w:t>ociální podnik vytváří nová pracovní místa pro osoby ze znevýhodněných cílových skupin</w:t>
            </w:r>
          </w:p>
          <w:p w:rsidR="004A4088" w:rsidRPr="004A4088" w:rsidRDefault="00C377BF" w:rsidP="00710A9B">
            <w:pPr>
              <w:pStyle w:val="Odstavecseseznamem"/>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w:t>
            </w:r>
            <w:r w:rsidR="00904D1F" w:rsidRPr="00904D1F">
              <w:rPr>
                <w:rFonts w:ascii="Times New Roman" w:hAnsi="Times New Roman" w:cs="Times New Roman"/>
                <w:sz w:val="20"/>
                <w:szCs w:val="20"/>
              </w:rPr>
              <w:t>ýstavba, rekonstrukce a vybavení sociálních podniků</w:t>
            </w:r>
            <w:r w:rsidR="00904D1F">
              <w:rPr>
                <w:rFonts w:ascii="Times New Roman" w:hAnsi="Times New Roman" w:cs="Times New Roman"/>
                <w:sz w:val="20"/>
                <w:szCs w:val="20"/>
              </w:rPr>
              <w:t xml:space="preserve"> (zohledňová</w:t>
            </w:r>
            <w:r w:rsidR="00265985">
              <w:rPr>
                <w:rFonts w:ascii="Times New Roman" w:hAnsi="Times New Roman" w:cs="Times New Roman"/>
                <w:sz w:val="20"/>
                <w:szCs w:val="20"/>
              </w:rPr>
              <w:t>ní specifických potřeb</w:t>
            </w:r>
            <w:r w:rsidR="00904D1F" w:rsidRPr="00904D1F">
              <w:rPr>
                <w:rFonts w:ascii="Times New Roman" w:hAnsi="Times New Roman" w:cs="Times New Roman"/>
                <w:sz w:val="20"/>
                <w:szCs w:val="20"/>
              </w:rPr>
              <w:t xml:space="preserve"> cílových skupin, např. bezbariérové úpravy prostor, záze</w:t>
            </w:r>
            <w:r w:rsidR="00265985">
              <w:rPr>
                <w:rFonts w:ascii="Times New Roman" w:hAnsi="Times New Roman" w:cs="Times New Roman"/>
                <w:sz w:val="20"/>
                <w:szCs w:val="20"/>
              </w:rPr>
              <w:t>mí pro znevýhodněné zaměstnance)</w:t>
            </w:r>
          </w:p>
          <w:p w:rsidR="004A4088" w:rsidRPr="00755AA3" w:rsidRDefault="004A4088" w:rsidP="004A4088">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u w:val="single"/>
              </w:rPr>
            </w:pPr>
            <w:r>
              <w:rPr>
                <w:rFonts w:ascii="Times New Roman" w:hAnsi="Times New Roman" w:cs="Times New Roman"/>
                <w:sz w:val="20"/>
                <w:szCs w:val="20"/>
                <w:u w:val="single"/>
              </w:rPr>
              <w:t xml:space="preserve">2) </w:t>
            </w:r>
            <w:r w:rsidRPr="00755AA3">
              <w:rPr>
                <w:rFonts w:ascii="Times New Roman" w:hAnsi="Times New Roman" w:cs="Times New Roman"/>
                <w:sz w:val="20"/>
                <w:szCs w:val="20"/>
                <w:u w:val="single"/>
              </w:rPr>
              <w:t>Výstavba, rekonstrukce a vybavení sociálních podniků:</w:t>
            </w:r>
          </w:p>
          <w:p w:rsidR="004A4088" w:rsidRDefault="004A4088" w:rsidP="00710A9B">
            <w:pPr>
              <w:pStyle w:val="Odstavecseseznamem"/>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aktivity, které umožní sociálně vyloučeným osobám a osobám ohroženým sociálním vyloučením vstup na trh práce a do podnikatelského prostředí</w:t>
            </w:r>
          </w:p>
          <w:p w:rsidR="004A4088" w:rsidRDefault="004A4088" w:rsidP="00710A9B">
            <w:pPr>
              <w:pStyle w:val="Odstavecseseznamem"/>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55AA3">
              <w:rPr>
                <w:rFonts w:ascii="Times New Roman" w:hAnsi="Times New Roman" w:cs="Times New Roman"/>
                <w:sz w:val="20"/>
                <w:szCs w:val="20"/>
              </w:rPr>
              <w:t>nákup objektů, zařízení, vybavení a stavební úpravy, které vytvoří podmínky pro sociální podnikání</w:t>
            </w:r>
          </w:p>
          <w:p w:rsidR="004A4088" w:rsidRPr="004A4088" w:rsidRDefault="004A4088" w:rsidP="00710A9B">
            <w:pPr>
              <w:pStyle w:val="Odstavecseseznamem"/>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A4088">
              <w:rPr>
                <w:rFonts w:ascii="Times New Roman" w:hAnsi="Times New Roman" w:cs="Times New Roman"/>
                <w:sz w:val="20"/>
                <w:szCs w:val="20"/>
              </w:rPr>
              <w:t>jde o investiční podporu vznikajících a udržitelných podnikatelských aktivit, které budou nadále ověřovat a rozvíjet koncept a principy sociálního podnikání.</w:t>
            </w:r>
          </w:p>
        </w:tc>
      </w:tr>
      <w:tr w:rsidR="00CB6849" w:rsidRPr="004B68BB" w:rsidTr="00E97C05">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093" w:type="dxa"/>
            <w:vMerge w:val="restart"/>
            <w:shd w:val="clear" w:color="auto" w:fill="C5E0B3" w:themeFill="accent6" w:themeFillTint="66"/>
          </w:tcPr>
          <w:p w:rsidR="00CB6849" w:rsidRPr="005D0023" w:rsidRDefault="00CB6849" w:rsidP="00043B30">
            <w:pPr>
              <w:spacing w:after="0" w:line="240" w:lineRule="auto"/>
              <w:jc w:val="left"/>
              <w:rPr>
                <w:rFonts w:ascii="Times New Roman" w:hAnsi="Times New Roman" w:cs="Times New Roman"/>
                <w:sz w:val="20"/>
                <w:szCs w:val="20"/>
              </w:rPr>
            </w:pPr>
            <w:r w:rsidRPr="005D0023">
              <w:rPr>
                <w:rFonts w:ascii="Times New Roman" w:hAnsi="Times New Roman" w:cs="Times New Roman"/>
                <w:sz w:val="20"/>
                <w:szCs w:val="20"/>
              </w:rPr>
              <w:lastRenderedPageBreak/>
              <w:t>Výsledky</w:t>
            </w:r>
          </w:p>
        </w:tc>
        <w:tc>
          <w:tcPr>
            <w:tcW w:w="6967" w:type="dxa"/>
            <w:gridSpan w:val="6"/>
            <w:shd w:val="clear" w:color="auto" w:fill="auto"/>
          </w:tcPr>
          <w:p w:rsidR="00CB6849" w:rsidRDefault="00CB6849" w:rsidP="00CB6849">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Indikátory vychází z programového dokumentu IROP a odpovídají specifickému cíl</w:t>
            </w:r>
            <w:r w:rsidR="00D3719E">
              <w:rPr>
                <w:rFonts w:ascii="Times New Roman" w:hAnsi="Times New Roman" w:cs="Times New Roman"/>
                <w:sz w:val="20"/>
                <w:szCs w:val="20"/>
              </w:rPr>
              <w:t>i</w:t>
            </w:r>
            <w:r w:rsidR="006A30FF">
              <w:rPr>
                <w:rFonts w:ascii="Times New Roman" w:hAnsi="Times New Roman" w:cs="Times New Roman"/>
                <w:sz w:val="20"/>
                <w:szCs w:val="20"/>
              </w:rPr>
              <w:t xml:space="preserve"> </w:t>
            </w:r>
            <w:r>
              <w:rPr>
                <w:rFonts w:ascii="Times New Roman" w:hAnsi="Times New Roman" w:cs="Times New Roman"/>
                <w:sz w:val="20"/>
                <w:szCs w:val="20"/>
              </w:rPr>
              <w:t xml:space="preserve">a podporovaným aktivitám v PR. </w:t>
            </w:r>
          </w:p>
          <w:p w:rsidR="00CB6849" w:rsidRDefault="00CB6849" w:rsidP="00CB6849">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CB6849" w:rsidRDefault="00CB6849" w:rsidP="00CB6849">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Výchozí a cílová hodnota indikátoru výsledku byla stanovena na základě Doporučení ŘO IROP a byla převzata z programového dokumentu. Datum výchozí hodnoty bylo stanoveno k 31. 12. 2012 a cílové hodnoty k 31. 12. 2023. </w:t>
            </w:r>
          </w:p>
          <w:p w:rsidR="00CB6849" w:rsidRDefault="00CB6849" w:rsidP="00CB6849">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CB6849" w:rsidRPr="006A30FF" w:rsidRDefault="00CB6849" w:rsidP="00CB6849">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30FF">
              <w:rPr>
                <w:rFonts w:ascii="Times New Roman" w:hAnsi="Times New Roman" w:cs="Times New Roman"/>
                <w:sz w:val="20"/>
                <w:szCs w:val="20"/>
              </w:rPr>
              <w:t xml:space="preserve">Cílová hodnota indikátorů výstupu byla stanovena na základě analýzy absorpční schopnosti MAS SKCH, resp. připravenosti a schopnosti subjektů na území MAS předložit a zrealizovat projekty, které odpovídají dlouhodobým potřebám regionu, dále na základě komunitního projednávání a také s ohledem na výši přidělené alokace pro programový rámec IROP. </w:t>
            </w:r>
          </w:p>
          <w:p w:rsidR="00CB6849" w:rsidRPr="00CB6849" w:rsidRDefault="00CB6849" w:rsidP="00CB6849">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p w:rsidR="00CB6849" w:rsidRPr="006A30FF" w:rsidRDefault="00CB6849" w:rsidP="00CB6849">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A30FF">
              <w:rPr>
                <w:rFonts w:ascii="Times New Roman" w:hAnsi="Times New Roman" w:cs="Times New Roman"/>
                <w:sz w:val="20"/>
                <w:szCs w:val="20"/>
              </w:rPr>
              <w:t xml:space="preserve">Průměrná cena za jednotku indikátoru byla stanovena indikativně, a to na základě analýzy absorpční kapacity území MAS </w:t>
            </w:r>
            <w:r w:rsidRPr="00D3719E">
              <w:rPr>
                <w:rFonts w:ascii="Times New Roman" w:hAnsi="Times New Roman" w:cs="Times New Roman"/>
                <w:sz w:val="20"/>
                <w:szCs w:val="20"/>
              </w:rPr>
              <w:t xml:space="preserve">na </w:t>
            </w:r>
            <w:r w:rsidR="00772958">
              <w:rPr>
                <w:rFonts w:ascii="Times New Roman" w:hAnsi="Times New Roman" w:cs="Times New Roman"/>
                <w:sz w:val="20"/>
                <w:szCs w:val="20"/>
              </w:rPr>
              <w:t>0,7</w:t>
            </w:r>
            <w:r w:rsidR="00241F63">
              <w:rPr>
                <w:rFonts w:ascii="Times New Roman" w:hAnsi="Times New Roman" w:cs="Times New Roman"/>
                <w:sz w:val="20"/>
                <w:szCs w:val="20"/>
              </w:rPr>
              <w:t>2</w:t>
            </w:r>
            <w:r w:rsidR="00772958">
              <w:rPr>
                <w:rFonts w:ascii="Times New Roman" w:hAnsi="Times New Roman" w:cs="Times New Roman"/>
                <w:sz w:val="20"/>
                <w:szCs w:val="20"/>
              </w:rPr>
              <w:t xml:space="preserve"> mil.</w:t>
            </w:r>
            <w:r w:rsidR="00D3719E" w:rsidRPr="00D3719E">
              <w:rPr>
                <w:rFonts w:ascii="Times New Roman" w:hAnsi="Times New Roman" w:cs="Times New Roman"/>
                <w:sz w:val="20"/>
                <w:szCs w:val="20"/>
              </w:rPr>
              <w:t xml:space="preserve"> Kč</w:t>
            </w:r>
            <w:r w:rsidR="00D3719E">
              <w:rPr>
                <w:rFonts w:ascii="Times New Roman" w:hAnsi="Times New Roman" w:cs="Times New Roman"/>
                <w:sz w:val="20"/>
                <w:szCs w:val="20"/>
              </w:rPr>
              <w:t xml:space="preserve"> na vznik jednoho podniku. </w:t>
            </w:r>
          </w:p>
          <w:p w:rsidR="00CB6849" w:rsidRPr="00CB6849" w:rsidRDefault="00CB6849" w:rsidP="00CB6849">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p w:rsidR="00CB6849" w:rsidRDefault="00CB6849" w:rsidP="00CB6849">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68D8">
              <w:rPr>
                <w:rFonts w:ascii="Times New Roman" w:hAnsi="Times New Roman" w:cs="Times New Roman"/>
                <w:sz w:val="20"/>
                <w:szCs w:val="20"/>
              </w:rPr>
              <w:t>Hodnota Milníku byla stanovena s ohledem na stav připravenosti potenciálních projektových záměrů na území MAS v době přípravy strategie a v také v souvislosti s předpokládanou výší alokace pro výzvy MAS na rok 2016 a 2017.</w:t>
            </w:r>
            <w:r>
              <w:rPr>
                <w:rFonts w:ascii="Times New Roman" w:hAnsi="Times New Roman" w:cs="Times New Roman"/>
                <w:sz w:val="20"/>
                <w:szCs w:val="20"/>
              </w:rPr>
              <w:t xml:space="preserve"> </w:t>
            </w:r>
          </w:p>
          <w:p w:rsidR="00CB6849" w:rsidRPr="00B529A4"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CB6849" w:rsidRPr="004B68BB" w:rsidTr="00043B30">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CB6849" w:rsidRPr="005D0023" w:rsidRDefault="00CB6849" w:rsidP="00043B30">
            <w:pPr>
              <w:spacing w:after="0" w:line="240" w:lineRule="auto"/>
              <w:jc w:val="left"/>
              <w:rPr>
                <w:rFonts w:ascii="Times New Roman" w:hAnsi="Times New Roman" w:cs="Times New Roman"/>
                <w:sz w:val="20"/>
                <w:szCs w:val="20"/>
              </w:rPr>
            </w:pPr>
          </w:p>
        </w:tc>
        <w:tc>
          <w:tcPr>
            <w:tcW w:w="6967" w:type="dxa"/>
            <w:gridSpan w:val="6"/>
            <w:shd w:val="clear" w:color="auto" w:fill="E2EFD9" w:themeFill="accent6" w:themeFillTint="33"/>
          </w:tcPr>
          <w:p w:rsidR="00CB6849" w:rsidRPr="00B529A4"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p w:rsidR="00CB6849" w:rsidRPr="0097233D"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lang w:eastAsia="cs-CZ"/>
              </w:rPr>
            </w:pPr>
            <w:r w:rsidRPr="0097233D">
              <w:rPr>
                <w:rFonts w:ascii="Times New Roman" w:hAnsi="Times New Roman" w:cs="Times New Roman"/>
                <w:b/>
                <w:sz w:val="20"/>
                <w:szCs w:val="20"/>
              </w:rPr>
              <w:t>Indikátory výsledku</w:t>
            </w:r>
          </w:p>
        </w:tc>
      </w:tr>
      <w:tr w:rsidR="00CB6849" w:rsidRPr="00B529A4" w:rsidTr="0004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CB6849" w:rsidRPr="005D0023" w:rsidRDefault="00CB6849" w:rsidP="00043B30">
            <w:pPr>
              <w:spacing w:before="0" w:after="0" w:line="240" w:lineRule="auto"/>
              <w:ind w:firstLine="0"/>
              <w:jc w:val="left"/>
              <w:rPr>
                <w:rFonts w:ascii="Times New Roman" w:hAnsi="Times New Roman" w:cs="Times New Roman"/>
                <w:sz w:val="20"/>
                <w:szCs w:val="20"/>
              </w:rPr>
            </w:pPr>
          </w:p>
        </w:tc>
        <w:tc>
          <w:tcPr>
            <w:tcW w:w="1134" w:type="dxa"/>
            <w:shd w:val="clear" w:color="auto" w:fill="auto"/>
          </w:tcPr>
          <w:p w:rsidR="00CB6849" w:rsidRPr="00B529A4"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Kód indikátoru</w:t>
            </w:r>
          </w:p>
        </w:tc>
        <w:tc>
          <w:tcPr>
            <w:tcW w:w="1984" w:type="dxa"/>
            <w:shd w:val="clear" w:color="auto" w:fill="auto"/>
          </w:tcPr>
          <w:p w:rsidR="00CB6849" w:rsidRPr="00B529A4"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Název indikátoru</w:t>
            </w:r>
          </w:p>
        </w:tc>
        <w:tc>
          <w:tcPr>
            <w:tcW w:w="993" w:type="dxa"/>
            <w:shd w:val="clear" w:color="auto" w:fill="auto"/>
          </w:tcPr>
          <w:p w:rsidR="00CB6849" w:rsidRPr="00B529A4"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MJ</w:t>
            </w:r>
          </w:p>
        </w:tc>
        <w:tc>
          <w:tcPr>
            <w:tcW w:w="992" w:type="dxa"/>
            <w:shd w:val="clear" w:color="auto" w:fill="auto"/>
          </w:tcPr>
          <w:p w:rsidR="00CB6849" w:rsidRPr="00B529A4"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Výchozí hodnota</w:t>
            </w:r>
            <w:r w:rsidR="007068D8">
              <w:rPr>
                <w:rFonts w:ascii="Times New Roman" w:hAnsi="Times New Roman" w:cs="Times New Roman"/>
                <w:b/>
                <w:sz w:val="20"/>
                <w:szCs w:val="20"/>
              </w:rPr>
              <w:t xml:space="preserve"> (2012)</w:t>
            </w:r>
            <w:r w:rsidRPr="00B529A4">
              <w:rPr>
                <w:rFonts w:ascii="Times New Roman" w:hAnsi="Times New Roman" w:cs="Times New Roman"/>
                <w:b/>
                <w:sz w:val="20"/>
                <w:szCs w:val="20"/>
              </w:rPr>
              <w:t xml:space="preserve"> </w:t>
            </w:r>
          </w:p>
        </w:tc>
        <w:tc>
          <w:tcPr>
            <w:tcW w:w="992" w:type="dxa"/>
            <w:shd w:val="clear" w:color="auto" w:fill="auto"/>
          </w:tcPr>
          <w:p w:rsidR="00CB6849" w:rsidRPr="00B529A4"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Cílová hodnota</w:t>
            </w:r>
            <w:r w:rsidR="007068D8">
              <w:rPr>
                <w:rFonts w:ascii="Times New Roman" w:hAnsi="Times New Roman" w:cs="Times New Roman"/>
                <w:b/>
                <w:sz w:val="20"/>
                <w:szCs w:val="20"/>
              </w:rPr>
              <w:t xml:space="preserve"> (2023)</w:t>
            </w:r>
          </w:p>
        </w:tc>
        <w:tc>
          <w:tcPr>
            <w:tcW w:w="872" w:type="dxa"/>
            <w:shd w:val="clear" w:color="auto" w:fill="auto"/>
          </w:tcPr>
          <w:p w:rsidR="00CB6849" w:rsidRPr="00B529A4"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Milník</w:t>
            </w:r>
            <w:r w:rsidR="007068D8">
              <w:rPr>
                <w:rFonts w:ascii="Times New Roman" w:hAnsi="Times New Roman" w:cs="Times New Roman"/>
                <w:b/>
                <w:sz w:val="20"/>
                <w:szCs w:val="20"/>
              </w:rPr>
              <w:t xml:space="preserve"> (2018)</w:t>
            </w:r>
          </w:p>
        </w:tc>
      </w:tr>
      <w:tr w:rsidR="00CB6849" w:rsidRPr="00B529A4" w:rsidTr="00E97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CB6849" w:rsidRPr="005D0023" w:rsidRDefault="00CB6849" w:rsidP="00043B30">
            <w:pPr>
              <w:spacing w:before="0" w:after="0" w:line="240" w:lineRule="auto"/>
              <w:ind w:firstLine="0"/>
              <w:jc w:val="left"/>
              <w:rPr>
                <w:rFonts w:ascii="Times New Roman" w:hAnsi="Times New Roman" w:cs="Times New Roman"/>
                <w:b w:val="0"/>
                <w:sz w:val="20"/>
                <w:szCs w:val="20"/>
              </w:rPr>
            </w:pPr>
          </w:p>
        </w:tc>
        <w:tc>
          <w:tcPr>
            <w:tcW w:w="1134" w:type="dxa"/>
            <w:shd w:val="clear" w:color="auto" w:fill="auto"/>
          </w:tcPr>
          <w:p w:rsidR="00CB6849" w:rsidRPr="0097233D"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1 04 11</w:t>
            </w:r>
          </w:p>
        </w:tc>
        <w:tc>
          <w:tcPr>
            <w:tcW w:w="1984" w:type="dxa"/>
            <w:shd w:val="clear" w:color="auto" w:fill="auto"/>
          </w:tcPr>
          <w:p w:rsidR="00CB6849" w:rsidRPr="0097233D"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Míra nezaměstnanosti osob s nejnižším vzděláním</w:t>
            </w:r>
          </w:p>
        </w:tc>
        <w:tc>
          <w:tcPr>
            <w:tcW w:w="993" w:type="dxa"/>
            <w:shd w:val="clear" w:color="auto" w:fill="auto"/>
          </w:tcPr>
          <w:p w:rsidR="00CB6849" w:rsidRPr="0097233D"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w:t>
            </w:r>
          </w:p>
        </w:tc>
        <w:tc>
          <w:tcPr>
            <w:tcW w:w="992" w:type="dxa"/>
            <w:shd w:val="clear" w:color="auto" w:fill="auto"/>
            <w:vAlign w:val="center"/>
          </w:tcPr>
          <w:p w:rsidR="00CB6849" w:rsidRPr="00B529A4" w:rsidRDefault="00CB6849"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28,5</w:t>
            </w:r>
          </w:p>
        </w:tc>
        <w:tc>
          <w:tcPr>
            <w:tcW w:w="992" w:type="dxa"/>
            <w:shd w:val="clear" w:color="auto" w:fill="auto"/>
            <w:vAlign w:val="center"/>
          </w:tcPr>
          <w:p w:rsidR="00CB6849" w:rsidRPr="00B529A4" w:rsidRDefault="00CB6849"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tc>
        <w:tc>
          <w:tcPr>
            <w:tcW w:w="872" w:type="dxa"/>
            <w:shd w:val="clear" w:color="auto" w:fill="auto"/>
            <w:vAlign w:val="center"/>
          </w:tcPr>
          <w:p w:rsidR="00CB6849" w:rsidRPr="00B529A4" w:rsidRDefault="007068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CB6849" w:rsidRPr="00B529A4" w:rsidTr="00043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CB6849" w:rsidRPr="005D0023" w:rsidRDefault="00CB6849" w:rsidP="00043B30">
            <w:pPr>
              <w:pStyle w:val="Bezmezer"/>
              <w:spacing w:before="0" w:after="0" w:line="240" w:lineRule="auto"/>
              <w:jc w:val="left"/>
              <w:rPr>
                <w:rFonts w:ascii="Times New Roman" w:hAnsi="Times New Roman" w:cs="Times New Roman"/>
                <w:b w:val="0"/>
                <w:sz w:val="20"/>
                <w:szCs w:val="20"/>
              </w:rPr>
            </w:pPr>
          </w:p>
        </w:tc>
        <w:tc>
          <w:tcPr>
            <w:tcW w:w="6967" w:type="dxa"/>
            <w:gridSpan w:val="6"/>
            <w:shd w:val="clear" w:color="auto" w:fill="E2EFD9" w:themeFill="accent6" w:themeFillTint="33"/>
          </w:tcPr>
          <w:p w:rsidR="00CB6849" w:rsidRPr="00B529A4"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CB6849" w:rsidRPr="00B529A4"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cs-CZ"/>
              </w:rPr>
            </w:pPr>
            <w:r w:rsidRPr="00B529A4">
              <w:rPr>
                <w:rFonts w:ascii="Times New Roman" w:hAnsi="Times New Roman" w:cs="Times New Roman"/>
                <w:b/>
                <w:sz w:val="20"/>
                <w:szCs w:val="20"/>
              </w:rPr>
              <w:t>Indikátory výstupu</w:t>
            </w:r>
          </w:p>
        </w:tc>
      </w:tr>
      <w:tr w:rsidR="00CB6849" w:rsidRPr="00B529A4" w:rsidTr="00043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CB6849" w:rsidRPr="005D0023" w:rsidRDefault="00CB6849"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CB6849" w:rsidRPr="00B529A4"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Kód indikátoru</w:t>
            </w:r>
          </w:p>
        </w:tc>
        <w:tc>
          <w:tcPr>
            <w:tcW w:w="1984" w:type="dxa"/>
            <w:shd w:val="clear" w:color="auto" w:fill="auto"/>
          </w:tcPr>
          <w:p w:rsidR="00CB6849" w:rsidRPr="00B529A4"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Název indikátoru</w:t>
            </w:r>
          </w:p>
        </w:tc>
        <w:tc>
          <w:tcPr>
            <w:tcW w:w="993" w:type="dxa"/>
            <w:shd w:val="clear" w:color="auto" w:fill="auto"/>
          </w:tcPr>
          <w:p w:rsidR="00CB6849" w:rsidRPr="00B529A4"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MJ</w:t>
            </w:r>
          </w:p>
        </w:tc>
        <w:tc>
          <w:tcPr>
            <w:tcW w:w="992" w:type="dxa"/>
            <w:shd w:val="clear" w:color="auto" w:fill="auto"/>
          </w:tcPr>
          <w:p w:rsidR="00CB6849" w:rsidRPr="00B529A4"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 xml:space="preserve">Výchozí hodnota </w:t>
            </w:r>
            <w:r w:rsidR="007068D8">
              <w:rPr>
                <w:rFonts w:ascii="Times New Roman" w:hAnsi="Times New Roman" w:cs="Times New Roman"/>
                <w:b/>
                <w:sz w:val="20"/>
                <w:szCs w:val="20"/>
              </w:rPr>
              <w:t>(2015)</w:t>
            </w:r>
          </w:p>
        </w:tc>
        <w:tc>
          <w:tcPr>
            <w:tcW w:w="992" w:type="dxa"/>
            <w:shd w:val="clear" w:color="auto" w:fill="auto"/>
          </w:tcPr>
          <w:p w:rsidR="00CB6849" w:rsidRPr="00B529A4"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Cílová hodnota</w:t>
            </w:r>
            <w:r w:rsidR="007068D8">
              <w:rPr>
                <w:rFonts w:ascii="Times New Roman" w:hAnsi="Times New Roman" w:cs="Times New Roman"/>
                <w:b/>
                <w:sz w:val="20"/>
                <w:szCs w:val="20"/>
              </w:rPr>
              <w:t xml:space="preserve"> (2023)</w:t>
            </w:r>
          </w:p>
        </w:tc>
        <w:tc>
          <w:tcPr>
            <w:tcW w:w="872" w:type="dxa"/>
            <w:shd w:val="clear" w:color="auto" w:fill="auto"/>
          </w:tcPr>
          <w:p w:rsidR="00CB6849" w:rsidRPr="00B529A4" w:rsidRDefault="00CB6849"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B529A4">
              <w:rPr>
                <w:rFonts w:ascii="Times New Roman" w:hAnsi="Times New Roman" w:cs="Times New Roman"/>
                <w:b/>
                <w:sz w:val="20"/>
                <w:szCs w:val="20"/>
              </w:rPr>
              <w:t>Milník</w:t>
            </w:r>
            <w:r w:rsidR="007068D8">
              <w:rPr>
                <w:rFonts w:ascii="Times New Roman" w:hAnsi="Times New Roman" w:cs="Times New Roman"/>
                <w:b/>
                <w:sz w:val="20"/>
                <w:szCs w:val="20"/>
              </w:rPr>
              <w:t xml:space="preserve"> (2018)</w:t>
            </w:r>
          </w:p>
        </w:tc>
      </w:tr>
      <w:tr w:rsidR="00CB6849" w:rsidRPr="00B529A4" w:rsidTr="00E97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CB6849" w:rsidRPr="005D0023" w:rsidRDefault="00CB6849"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CB6849" w:rsidRPr="0097233D"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1 00 00</w:t>
            </w:r>
          </w:p>
        </w:tc>
        <w:tc>
          <w:tcPr>
            <w:tcW w:w="1984" w:type="dxa"/>
            <w:shd w:val="clear" w:color="auto" w:fill="auto"/>
          </w:tcPr>
          <w:p w:rsidR="00CB6849" w:rsidRPr="0097233D"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Počet podniků pobírajících podporu</w:t>
            </w:r>
          </w:p>
        </w:tc>
        <w:tc>
          <w:tcPr>
            <w:tcW w:w="993" w:type="dxa"/>
            <w:shd w:val="clear" w:color="auto" w:fill="auto"/>
          </w:tcPr>
          <w:p w:rsidR="00CB6849" w:rsidRPr="0097233D" w:rsidRDefault="00CB6849"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podniky</w:t>
            </w:r>
          </w:p>
        </w:tc>
        <w:tc>
          <w:tcPr>
            <w:tcW w:w="992" w:type="dxa"/>
            <w:shd w:val="clear" w:color="auto" w:fill="auto"/>
            <w:vAlign w:val="center"/>
          </w:tcPr>
          <w:p w:rsidR="00CB6849" w:rsidRPr="00B529A4" w:rsidRDefault="007068D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2" w:type="dxa"/>
            <w:shd w:val="clear" w:color="auto" w:fill="auto"/>
            <w:vAlign w:val="center"/>
          </w:tcPr>
          <w:p w:rsidR="00CB6849" w:rsidRPr="00B529A4" w:rsidRDefault="00D3719E"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872" w:type="dxa"/>
            <w:shd w:val="clear" w:color="auto" w:fill="auto"/>
            <w:vAlign w:val="center"/>
          </w:tcPr>
          <w:p w:rsidR="00CB6849" w:rsidRPr="00B529A4" w:rsidRDefault="00D3719E"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D3719E" w:rsidRPr="00B529A4" w:rsidTr="00E97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D3719E" w:rsidRPr="005D0023" w:rsidRDefault="00D3719E"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D3719E" w:rsidRPr="0097233D" w:rsidRDefault="00D3719E" w:rsidP="00043B30">
            <w:pPr>
              <w:pStyle w:val="Bezmezer"/>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1 01 02</w:t>
            </w:r>
          </w:p>
        </w:tc>
        <w:tc>
          <w:tcPr>
            <w:tcW w:w="1984" w:type="dxa"/>
            <w:shd w:val="clear" w:color="auto" w:fill="auto"/>
          </w:tcPr>
          <w:p w:rsidR="00D3719E" w:rsidRPr="0097233D" w:rsidRDefault="00D3719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Počet podniků pobírajících granty</w:t>
            </w:r>
          </w:p>
        </w:tc>
        <w:tc>
          <w:tcPr>
            <w:tcW w:w="993" w:type="dxa"/>
            <w:shd w:val="clear" w:color="auto" w:fill="auto"/>
          </w:tcPr>
          <w:p w:rsidR="00D3719E" w:rsidRPr="0097233D" w:rsidRDefault="00D3719E"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podniky</w:t>
            </w:r>
          </w:p>
        </w:tc>
        <w:tc>
          <w:tcPr>
            <w:tcW w:w="992" w:type="dxa"/>
            <w:shd w:val="clear" w:color="auto" w:fill="auto"/>
            <w:vAlign w:val="center"/>
          </w:tcPr>
          <w:p w:rsidR="00D3719E" w:rsidRPr="00B529A4" w:rsidRDefault="00D3719E"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2" w:type="dxa"/>
            <w:shd w:val="clear" w:color="auto" w:fill="auto"/>
            <w:vAlign w:val="center"/>
          </w:tcPr>
          <w:p w:rsidR="00D3719E" w:rsidRPr="00B529A4" w:rsidRDefault="00D3719E"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872" w:type="dxa"/>
            <w:shd w:val="clear" w:color="auto" w:fill="auto"/>
            <w:vAlign w:val="center"/>
          </w:tcPr>
          <w:p w:rsidR="00D3719E" w:rsidRPr="00B529A4" w:rsidRDefault="007068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7068D8" w:rsidRPr="00B529A4" w:rsidTr="00E97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7068D8" w:rsidRPr="005D0023" w:rsidRDefault="007068D8"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7068D8" w:rsidRPr="0097233D" w:rsidRDefault="007068D8" w:rsidP="00043B30">
            <w:pPr>
              <w:pStyle w:val="Bezmeze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1 04 00</w:t>
            </w:r>
          </w:p>
        </w:tc>
        <w:tc>
          <w:tcPr>
            <w:tcW w:w="1984" w:type="dxa"/>
            <w:shd w:val="clear" w:color="auto" w:fill="auto"/>
          </w:tcPr>
          <w:p w:rsidR="007068D8" w:rsidRPr="0097233D" w:rsidRDefault="007068D8"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Zvýšení zaměstnanosti v podporovaných podnicích</w:t>
            </w:r>
          </w:p>
        </w:tc>
        <w:tc>
          <w:tcPr>
            <w:tcW w:w="993" w:type="dxa"/>
            <w:shd w:val="clear" w:color="auto" w:fill="auto"/>
          </w:tcPr>
          <w:p w:rsidR="007068D8" w:rsidRPr="0097233D" w:rsidRDefault="007068D8"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FTE</w:t>
            </w:r>
          </w:p>
        </w:tc>
        <w:tc>
          <w:tcPr>
            <w:tcW w:w="992" w:type="dxa"/>
            <w:shd w:val="clear" w:color="auto" w:fill="auto"/>
            <w:vAlign w:val="center"/>
          </w:tcPr>
          <w:p w:rsidR="007068D8" w:rsidRPr="00B529A4" w:rsidRDefault="007068D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94FD0">
              <w:rPr>
                <w:rFonts w:ascii="Times New Roman" w:hAnsi="Times New Roman" w:cs="Times New Roman"/>
                <w:sz w:val="20"/>
                <w:szCs w:val="20"/>
              </w:rPr>
              <w:t>0</w:t>
            </w:r>
          </w:p>
        </w:tc>
        <w:tc>
          <w:tcPr>
            <w:tcW w:w="992" w:type="dxa"/>
            <w:shd w:val="clear" w:color="auto" w:fill="auto"/>
            <w:vAlign w:val="center"/>
          </w:tcPr>
          <w:p w:rsidR="007068D8" w:rsidRPr="00B529A4" w:rsidRDefault="004F65F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872" w:type="dxa"/>
            <w:shd w:val="clear" w:color="auto" w:fill="auto"/>
            <w:vAlign w:val="center"/>
          </w:tcPr>
          <w:p w:rsidR="007068D8" w:rsidRPr="00B529A4" w:rsidRDefault="007068D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7068D8" w:rsidRPr="00B529A4" w:rsidTr="00E97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7068D8" w:rsidRPr="005D0023" w:rsidRDefault="007068D8"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7068D8" w:rsidRPr="0097233D" w:rsidRDefault="007068D8" w:rsidP="00043B30">
            <w:pPr>
              <w:pStyle w:val="Bezmezer"/>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1 01 05</w:t>
            </w:r>
          </w:p>
        </w:tc>
        <w:tc>
          <w:tcPr>
            <w:tcW w:w="1984" w:type="dxa"/>
            <w:shd w:val="clear" w:color="auto" w:fill="auto"/>
          </w:tcPr>
          <w:p w:rsidR="007068D8" w:rsidRPr="0097233D" w:rsidRDefault="007068D8"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Počet nových podniků, které dostávají podporu</w:t>
            </w:r>
          </w:p>
        </w:tc>
        <w:tc>
          <w:tcPr>
            <w:tcW w:w="993" w:type="dxa"/>
            <w:shd w:val="clear" w:color="auto" w:fill="auto"/>
          </w:tcPr>
          <w:p w:rsidR="007068D8" w:rsidRPr="0097233D" w:rsidRDefault="007068D8"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podniky</w:t>
            </w:r>
          </w:p>
        </w:tc>
        <w:tc>
          <w:tcPr>
            <w:tcW w:w="992" w:type="dxa"/>
            <w:shd w:val="clear" w:color="auto" w:fill="auto"/>
            <w:vAlign w:val="center"/>
          </w:tcPr>
          <w:p w:rsidR="007068D8" w:rsidRPr="00B529A4" w:rsidRDefault="007068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94FD0">
              <w:rPr>
                <w:rFonts w:ascii="Times New Roman" w:hAnsi="Times New Roman" w:cs="Times New Roman"/>
                <w:sz w:val="20"/>
                <w:szCs w:val="20"/>
              </w:rPr>
              <w:t>0</w:t>
            </w:r>
          </w:p>
        </w:tc>
        <w:tc>
          <w:tcPr>
            <w:tcW w:w="992" w:type="dxa"/>
            <w:shd w:val="clear" w:color="auto" w:fill="auto"/>
            <w:vAlign w:val="center"/>
          </w:tcPr>
          <w:p w:rsidR="007068D8" w:rsidRPr="00B529A4" w:rsidRDefault="007068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872" w:type="dxa"/>
            <w:shd w:val="clear" w:color="auto" w:fill="auto"/>
            <w:vAlign w:val="center"/>
          </w:tcPr>
          <w:p w:rsidR="007068D8" w:rsidRPr="00B529A4" w:rsidRDefault="007068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7068D8" w:rsidRPr="00B529A4" w:rsidTr="00E97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7068D8" w:rsidRPr="005D0023" w:rsidRDefault="007068D8"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7068D8" w:rsidRPr="0097233D" w:rsidRDefault="007068D8" w:rsidP="00043B30">
            <w:pPr>
              <w:pStyle w:val="Bezmeze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1 03 00</w:t>
            </w:r>
          </w:p>
        </w:tc>
        <w:tc>
          <w:tcPr>
            <w:tcW w:w="1984" w:type="dxa"/>
            <w:shd w:val="clear" w:color="auto" w:fill="auto"/>
          </w:tcPr>
          <w:p w:rsidR="007068D8" w:rsidRPr="0097233D" w:rsidRDefault="007068D8"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Soukromé investice odpovídající veřejné podpoře podniků (granty)</w:t>
            </w:r>
          </w:p>
        </w:tc>
        <w:tc>
          <w:tcPr>
            <w:tcW w:w="993" w:type="dxa"/>
            <w:shd w:val="clear" w:color="auto" w:fill="auto"/>
          </w:tcPr>
          <w:p w:rsidR="007068D8" w:rsidRPr="0097233D" w:rsidRDefault="007068D8" w:rsidP="00043B30">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EUR</w:t>
            </w:r>
          </w:p>
        </w:tc>
        <w:tc>
          <w:tcPr>
            <w:tcW w:w="992" w:type="dxa"/>
            <w:shd w:val="clear" w:color="auto" w:fill="auto"/>
            <w:vAlign w:val="center"/>
          </w:tcPr>
          <w:p w:rsidR="007068D8" w:rsidRPr="00B529A4" w:rsidRDefault="007068D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94FD0">
              <w:rPr>
                <w:rFonts w:ascii="Times New Roman" w:hAnsi="Times New Roman" w:cs="Times New Roman"/>
                <w:sz w:val="20"/>
                <w:szCs w:val="20"/>
              </w:rPr>
              <w:t>0</w:t>
            </w:r>
          </w:p>
        </w:tc>
        <w:tc>
          <w:tcPr>
            <w:tcW w:w="992" w:type="dxa"/>
            <w:shd w:val="clear" w:color="auto" w:fill="auto"/>
            <w:vAlign w:val="center"/>
          </w:tcPr>
          <w:p w:rsidR="007068D8" w:rsidRPr="00B529A4" w:rsidRDefault="001027C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872" w:type="dxa"/>
            <w:shd w:val="clear" w:color="auto" w:fill="auto"/>
            <w:vAlign w:val="center"/>
          </w:tcPr>
          <w:p w:rsidR="007068D8" w:rsidRPr="00B529A4" w:rsidRDefault="007068D8"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7068D8" w:rsidRPr="00B529A4" w:rsidTr="00E97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7068D8" w:rsidRPr="005D0023" w:rsidRDefault="007068D8" w:rsidP="00043B30">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7068D8" w:rsidRPr="0097233D" w:rsidRDefault="007068D8" w:rsidP="00043B30">
            <w:pPr>
              <w:pStyle w:val="Bezmezer"/>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1 04 03</w:t>
            </w:r>
          </w:p>
        </w:tc>
        <w:tc>
          <w:tcPr>
            <w:tcW w:w="1984" w:type="dxa"/>
            <w:shd w:val="clear" w:color="auto" w:fill="auto"/>
          </w:tcPr>
          <w:p w:rsidR="007068D8" w:rsidRPr="0097233D" w:rsidRDefault="007068D8"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Zvýšení zaměstnanosti v podporovaných podnicích se zaměřením na znevýhodněné skupiny</w:t>
            </w:r>
          </w:p>
        </w:tc>
        <w:tc>
          <w:tcPr>
            <w:tcW w:w="993" w:type="dxa"/>
            <w:shd w:val="clear" w:color="auto" w:fill="auto"/>
          </w:tcPr>
          <w:p w:rsidR="007068D8" w:rsidRPr="0097233D" w:rsidRDefault="007068D8" w:rsidP="00043B30">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7233D">
              <w:rPr>
                <w:rFonts w:ascii="Times New Roman" w:hAnsi="Times New Roman" w:cs="Times New Roman"/>
                <w:sz w:val="20"/>
                <w:szCs w:val="20"/>
              </w:rPr>
              <w:t>FTE</w:t>
            </w:r>
          </w:p>
        </w:tc>
        <w:tc>
          <w:tcPr>
            <w:tcW w:w="992" w:type="dxa"/>
            <w:shd w:val="clear" w:color="auto" w:fill="auto"/>
            <w:vAlign w:val="center"/>
          </w:tcPr>
          <w:p w:rsidR="007068D8" w:rsidRPr="00B529A4" w:rsidRDefault="007068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94FD0">
              <w:rPr>
                <w:rFonts w:ascii="Times New Roman" w:hAnsi="Times New Roman" w:cs="Times New Roman"/>
                <w:sz w:val="20"/>
                <w:szCs w:val="20"/>
              </w:rPr>
              <w:t>0</w:t>
            </w:r>
          </w:p>
        </w:tc>
        <w:tc>
          <w:tcPr>
            <w:tcW w:w="992" w:type="dxa"/>
            <w:shd w:val="clear" w:color="auto" w:fill="auto"/>
            <w:vAlign w:val="center"/>
          </w:tcPr>
          <w:p w:rsidR="007068D8" w:rsidRPr="00B529A4" w:rsidRDefault="007068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872" w:type="dxa"/>
            <w:shd w:val="clear" w:color="auto" w:fill="auto"/>
            <w:vAlign w:val="center"/>
          </w:tcPr>
          <w:p w:rsidR="007068D8" w:rsidRPr="00B529A4" w:rsidRDefault="007068D8"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bl>
    <w:p w:rsidR="00776939" w:rsidRDefault="00776939" w:rsidP="004C22BE">
      <w:pPr>
        <w:spacing w:before="0" w:after="160" w:line="259" w:lineRule="auto"/>
        <w:ind w:firstLine="0"/>
        <w:jc w:val="left"/>
        <w:rPr>
          <w:rFonts w:ascii="Times New Roman" w:hAnsi="Times New Roman" w:cs="Times New Roman"/>
          <w:sz w:val="20"/>
          <w:szCs w:val="20"/>
        </w:rPr>
      </w:pPr>
    </w:p>
    <w:p w:rsidR="00E97C05" w:rsidRPr="00DF742C" w:rsidRDefault="00E97C05" w:rsidP="004C22BE">
      <w:pPr>
        <w:spacing w:before="0" w:after="160" w:line="259" w:lineRule="auto"/>
        <w:ind w:firstLine="0"/>
        <w:jc w:val="left"/>
        <w:rPr>
          <w:rFonts w:ascii="Times New Roman" w:hAnsi="Times New Roman" w:cs="Times New Roman"/>
          <w:sz w:val="20"/>
          <w:szCs w:val="20"/>
        </w:rPr>
      </w:pPr>
    </w:p>
    <w:tbl>
      <w:tblPr>
        <w:tblStyle w:val="Svtlmkazvraznn6"/>
        <w:tblW w:w="0" w:type="auto"/>
        <w:tblLook w:val="04A0" w:firstRow="1" w:lastRow="0" w:firstColumn="1" w:lastColumn="0" w:noHBand="0" w:noVBand="1"/>
      </w:tblPr>
      <w:tblGrid>
        <w:gridCol w:w="2093"/>
        <w:gridCol w:w="1134"/>
        <w:gridCol w:w="1984"/>
        <w:gridCol w:w="851"/>
        <w:gridCol w:w="992"/>
        <w:gridCol w:w="992"/>
        <w:gridCol w:w="993"/>
        <w:gridCol w:w="18"/>
      </w:tblGrid>
      <w:tr w:rsidR="004D5AA1" w:rsidRPr="00DF742C" w:rsidTr="00E97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D5AA1" w:rsidRPr="00DF742C" w:rsidRDefault="004D5AA1" w:rsidP="00451DF6">
            <w:pPr>
              <w:ind w:firstLine="0"/>
              <w:jc w:val="left"/>
              <w:rPr>
                <w:rFonts w:ascii="Times New Roman" w:hAnsi="Times New Roman" w:cs="Times New Roman"/>
                <w:sz w:val="20"/>
                <w:szCs w:val="20"/>
              </w:rPr>
            </w:pPr>
            <w:r w:rsidRPr="00DF742C">
              <w:rPr>
                <w:rFonts w:ascii="Times New Roman" w:hAnsi="Times New Roman" w:cs="Times New Roman"/>
                <w:sz w:val="20"/>
                <w:szCs w:val="20"/>
              </w:rPr>
              <w:lastRenderedPageBreak/>
              <w:t xml:space="preserve">Název opatření </w:t>
            </w:r>
            <w:r>
              <w:rPr>
                <w:rFonts w:ascii="Times New Roman" w:hAnsi="Times New Roman" w:cs="Times New Roman"/>
                <w:sz w:val="20"/>
                <w:szCs w:val="20"/>
              </w:rPr>
              <w:t xml:space="preserve"> SCLLD</w:t>
            </w:r>
          </w:p>
        </w:tc>
        <w:tc>
          <w:tcPr>
            <w:tcW w:w="6964" w:type="dxa"/>
            <w:gridSpan w:val="7"/>
            <w:shd w:val="clear" w:color="auto" w:fill="E2EFD9" w:themeFill="accent6" w:themeFillTint="33"/>
          </w:tcPr>
          <w:p w:rsidR="004D5AA1" w:rsidRPr="004D5AA1" w:rsidRDefault="004D5AA1" w:rsidP="00451DF6">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4D5AA1">
              <w:rPr>
                <w:rFonts w:ascii="Times New Roman" w:hAnsi="Times New Roman" w:cs="Times New Roman"/>
                <w:szCs w:val="20"/>
              </w:rPr>
              <w:t>Kvalitní vzdělávání - úspěšná budoucnost</w:t>
            </w:r>
          </w:p>
        </w:tc>
      </w:tr>
      <w:tr w:rsidR="004D5AA1" w:rsidRPr="00DF742C" w:rsidTr="00E97C05">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D5AA1" w:rsidRPr="00DF742C" w:rsidRDefault="004D5AA1" w:rsidP="00451DF6">
            <w:pPr>
              <w:ind w:firstLine="0"/>
              <w:jc w:val="left"/>
              <w:rPr>
                <w:rFonts w:ascii="Times New Roman" w:hAnsi="Times New Roman" w:cs="Times New Roman"/>
                <w:sz w:val="20"/>
                <w:szCs w:val="20"/>
              </w:rPr>
            </w:pPr>
            <w:r w:rsidRPr="00DF742C">
              <w:rPr>
                <w:rFonts w:ascii="Times New Roman" w:hAnsi="Times New Roman" w:cs="Times New Roman"/>
                <w:sz w:val="20"/>
                <w:szCs w:val="20"/>
              </w:rPr>
              <w:t>Vazba na specifický cíl</w:t>
            </w:r>
            <w:r>
              <w:rPr>
                <w:rFonts w:ascii="Times New Roman" w:hAnsi="Times New Roman" w:cs="Times New Roman"/>
                <w:sz w:val="20"/>
                <w:szCs w:val="20"/>
              </w:rPr>
              <w:t xml:space="preserve"> </w:t>
            </w:r>
            <w:r w:rsidRPr="00DF742C">
              <w:rPr>
                <w:rFonts w:ascii="Times New Roman" w:hAnsi="Times New Roman" w:cs="Times New Roman"/>
                <w:sz w:val="20"/>
                <w:szCs w:val="20"/>
              </w:rPr>
              <w:t>SCLLD</w:t>
            </w:r>
          </w:p>
        </w:tc>
        <w:tc>
          <w:tcPr>
            <w:tcW w:w="6964" w:type="dxa"/>
            <w:gridSpan w:val="7"/>
            <w:shd w:val="clear" w:color="auto" w:fill="E2EFD9" w:themeFill="accent6" w:themeFillTint="33"/>
          </w:tcPr>
          <w:p w:rsidR="004D5AA1" w:rsidRPr="004D5AA1" w:rsidRDefault="004D5AA1" w:rsidP="00451DF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highlight w:val="yellow"/>
              </w:rPr>
            </w:pPr>
            <w:r w:rsidRPr="00B02459">
              <w:rPr>
                <w:rFonts w:ascii="Times New Roman" w:hAnsi="Times New Roman" w:cs="Times New Roman"/>
                <w:sz w:val="20"/>
                <w:szCs w:val="20"/>
              </w:rPr>
              <w:t>3.3 Zvyšování úrovně a rozvoj vzdělávání a dalšího vzdělávání v rámci zlepšení konkurenceschopnosti místní pracovní síly</w:t>
            </w:r>
          </w:p>
        </w:tc>
      </w:tr>
      <w:tr w:rsidR="004D5AA1" w:rsidRPr="00DF742C" w:rsidTr="00E97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D5AA1" w:rsidRPr="00DF742C" w:rsidRDefault="004D5AA1" w:rsidP="00451DF6">
            <w:pPr>
              <w:ind w:firstLine="0"/>
              <w:jc w:val="left"/>
              <w:rPr>
                <w:rFonts w:ascii="Times New Roman" w:hAnsi="Times New Roman" w:cs="Times New Roman"/>
                <w:sz w:val="20"/>
                <w:szCs w:val="20"/>
              </w:rPr>
            </w:pPr>
            <w:r w:rsidRPr="00DF742C">
              <w:rPr>
                <w:rFonts w:ascii="Times New Roman" w:hAnsi="Times New Roman" w:cs="Times New Roman"/>
                <w:sz w:val="20"/>
                <w:szCs w:val="20"/>
              </w:rPr>
              <w:t>Vazba na specifický cíl IROP</w:t>
            </w:r>
          </w:p>
        </w:tc>
        <w:tc>
          <w:tcPr>
            <w:tcW w:w="6964" w:type="dxa"/>
            <w:gridSpan w:val="7"/>
            <w:shd w:val="clear" w:color="auto" w:fill="E2EFD9" w:themeFill="accent6" w:themeFillTint="33"/>
          </w:tcPr>
          <w:p w:rsidR="004D5AA1" w:rsidRPr="004D5AA1" w:rsidRDefault="004D5AA1" w:rsidP="00451DF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D5AA1">
              <w:rPr>
                <w:rFonts w:ascii="Times New Roman" w:hAnsi="Times New Roman" w:cs="Times New Roman"/>
                <w:sz w:val="20"/>
                <w:szCs w:val="20"/>
              </w:rPr>
              <w:t>4.1 Posílení komunitně vedeného místního rozvoje za účelem zvýšení kvality života ve venkovských oblastech a aktivizace místního potenciálu</w:t>
            </w:r>
          </w:p>
          <w:p w:rsidR="004D5AA1" w:rsidRPr="004D5AA1" w:rsidRDefault="004D5AA1" w:rsidP="00451DF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highlight w:val="yellow"/>
              </w:rPr>
            </w:pPr>
            <w:r w:rsidRPr="00B02459">
              <w:rPr>
                <w:rFonts w:ascii="Times New Roman" w:hAnsi="Times New Roman" w:cs="Times New Roman"/>
                <w:sz w:val="20"/>
                <w:szCs w:val="20"/>
              </w:rPr>
              <w:t>2.4 Zvýšení kvality a dostupnosti infrastruktury pro vzdělávání a celoživotní učení</w:t>
            </w:r>
          </w:p>
        </w:tc>
      </w:tr>
      <w:tr w:rsidR="004D5AA1" w:rsidRPr="00DF742C" w:rsidTr="00451D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D5AA1" w:rsidRPr="00DF742C" w:rsidRDefault="004D5AA1" w:rsidP="00451DF6">
            <w:pPr>
              <w:ind w:firstLine="0"/>
              <w:jc w:val="left"/>
              <w:rPr>
                <w:rFonts w:ascii="Times New Roman" w:hAnsi="Times New Roman" w:cs="Times New Roman"/>
                <w:sz w:val="20"/>
                <w:szCs w:val="20"/>
              </w:rPr>
            </w:pPr>
            <w:r>
              <w:rPr>
                <w:rFonts w:ascii="Times New Roman" w:hAnsi="Times New Roman" w:cs="Times New Roman"/>
                <w:sz w:val="20"/>
                <w:szCs w:val="20"/>
              </w:rPr>
              <w:t xml:space="preserve">Popis opatření </w:t>
            </w:r>
          </w:p>
        </w:tc>
        <w:tc>
          <w:tcPr>
            <w:tcW w:w="6964" w:type="dxa"/>
            <w:gridSpan w:val="7"/>
            <w:shd w:val="clear" w:color="auto" w:fill="auto"/>
          </w:tcPr>
          <w:p w:rsidR="004D5AA1" w:rsidRPr="00DF742C" w:rsidRDefault="004D5AA1" w:rsidP="004D5AA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Cílem opatření je prostřednictvím kvalitní a dostupné infrastruktury zajistit rovný přístup ke vzdělávání a k získávání klíčových schopností pro celoživotní učení a tím zajistit reálnou uplatnitelnost na trhu práce. Podporou investic do výstavby, stavebních úprav a pořízení vybavení za účelem zajištění rovného přístupu ke kvalitnímu vzdělávání a s důrazem na rozvoj klíčových kompetencí žáků bude dosaženo splnění cíle opatření. Podpořeny budou vzdělávací zařízení (školy, školská zařízení a další zařízení podílející se na realizaci vzdělávacích aktivit), která umožní zlepšit kvalitu formálního vzdělávání, zájmového a neformálního vzdělávání mládeže.</w:t>
            </w:r>
          </w:p>
          <w:p w:rsidR="004D5AA1" w:rsidRPr="00DF742C" w:rsidRDefault="004D5AA1" w:rsidP="004D5AA1">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Na území MAS jsou nedostatečné kapacity zařízení pro děti předškolního věku a jeslí. Základní školy jsou v menších obcích zastoupeny většinou malotřídkami prvního stupně. Je důležité tyto školy udržet, aby děti na prvním stupni nemusely dojíždět do měst. Další důvod, proč by měly být malotřídní školy zachovány je, že nabízejí dětem prvního stupně individuální přístup, který je u větších škol přes všechnu snahu omezený, nicméně pro rozvoj znalostí i schopností malého dítěte nezastupitelný.</w:t>
            </w:r>
            <w:r>
              <w:rPr>
                <w:rFonts w:ascii="Times New Roman" w:hAnsi="Times New Roman" w:cs="Times New Roman"/>
                <w:sz w:val="20"/>
                <w:szCs w:val="20"/>
              </w:rPr>
              <w:t xml:space="preserve"> </w:t>
            </w:r>
            <w:r w:rsidRPr="00DF742C">
              <w:rPr>
                <w:rFonts w:ascii="Times New Roman" w:hAnsi="Times New Roman" w:cs="Times New Roman"/>
                <w:sz w:val="20"/>
                <w:szCs w:val="20"/>
              </w:rPr>
              <w:t xml:space="preserve">V území MAS je dostupná jedna střední škola, střední odborné učiliště a dvanáct základních škol. Je proto žádoucí klást důraz na podporu kvalitní infrastruktury pro výuku klíčových kompetencí, které žáci základních </w:t>
            </w:r>
            <w:r w:rsidRPr="0039631C">
              <w:rPr>
                <w:rFonts w:ascii="Times New Roman" w:hAnsi="Times New Roman" w:cs="Times New Roman"/>
                <w:sz w:val="20"/>
                <w:szCs w:val="20"/>
              </w:rPr>
              <w:t xml:space="preserve">a </w:t>
            </w:r>
            <w:r w:rsidRPr="00502E6D">
              <w:rPr>
                <w:rFonts w:ascii="Times New Roman" w:hAnsi="Times New Roman" w:cs="Times New Roman"/>
                <w:sz w:val="20"/>
                <w:szCs w:val="20"/>
              </w:rPr>
              <w:t>středních škol</w:t>
            </w:r>
            <w:r w:rsidRPr="00DF742C">
              <w:rPr>
                <w:rFonts w:ascii="Times New Roman" w:hAnsi="Times New Roman" w:cs="Times New Roman"/>
                <w:sz w:val="20"/>
                <w:szCs w:val="20"/>
              </w:rPr>
              <w:t xml:space="preserve"> využijí v praxi. Průřezově bude kladen důraz na výuku technických a řemeslných dovedností pro zvyšování zájmu žáků a studentů o přírodovědné a technické obory, výuku cizích jazyků a oblast digitálních technologií, vybudování zázemí, využitelného pro celoživotní učení a rekvalifikace v souladu s požadavky trhu práce. Pro zajištění rozvoje klíčových kompetencí bude využito také zájmové neformální vzdělávání.</w:t>
            </w:r>
            <w:r>
              <w:rPr>
                <w:rFonts w:ascii="Times New Roman" w:hAnsi="Times New Roman" w:cs="Times New Roman"/>
                <w:sz w:val="20"/>
                <w:szCs w:val="20"/>
              </w:rPr>
              <w:t xml:space="preserve"> </w:t>
            </w:r>
            <w:r w:rsidRPr="00DF742C">
              <w:rPr>
                <w:rFonts w:ascii="Times New Roman" w:hAnsi="Times New Roman" w:cs="Times New Roman"/>
                <w:sz w:val="20"/>
                <w:szCs w:val="20"/>
              </w:rPr>
              <w:t>Většina školních budov je vhodná i k dalšímu využití mimo dobu školního vyučování. Ve školách je možné zřídit i univerzity 3. věku pro seniory, pořádat zde nejrůznější večerní kurzy nebo zřídit rodičovská centra.</w:t>
            </w:r>
          </w:p>
          <w:p w:rsidR="004D5AA1" w:rsidRPr="004D5AA1" w:rsidRDefault="00FC064D" w:rsidP="00451DF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FC064D">
              <w:rPr>
                <w:rFonts w:ascii="Times New Roman" w:hAnsi="Times New Roman" w:cs="Times New Roman"/>
                <w:sz w:val="20"/>
                <w:szCs w:val="20"/>
              </w:rPr>
              <w:t>Podpořeny budou vzdělávací zařízení (školy, školská zařízení a další zařízení podílející se na realizaci vzdělávacích aktivit), která umožní zlepšit kvalitu formálního vzděl</w:t>
            </w:r>
            <w:r>
              <w:rPr>
                <w:rFonts w:ascii="Times New Roman" w:hAnsi="Times New Roman" w:cs="Times New Roman"/>
                <w:sz w:val="20"/>
                <w:szCs w:val="20"/>
              </w:rPr>
              <w:t>ávání (předškolního, základního a středního</w:t>
            </w:r>
            <w:r w:rsidRPr="00FC064D">
              <w:rPr>
                <w:rFonts w:ascii="Times New Roman" w:hAnsi="Times New Roman" w:cs="Times New Roman"/>
                <w:sz w:val="20"/>
                <w:szCs w:val="20"/>
              </w:rPr>
              <w:t>), zájmového a neformálního vzdělávání mládeže a dalšího vzdělávání dospělých.</w:t>
            </w:r>
          </w:p>
        </w:tc>
      </w:tr>
      <w:tr w:rsidR="004D5AA1" w:rsidRPr="00DF742C" w:rsidTr="00451D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D5AA1" w:rsidRPr="00DF742C" w:rsidRDefault="004D5AA1" w:rsidP="00451DF6">
            <w:pPr>
              <w:ind w:firstLine="0"/>
              <w:jc w:val="left"/>
              <w:rPr>
                <w:rFonts w:ascii="Times New Roman" w:hAnsi="Times New Roman" w:cs="Times New Roman"/>
                <w:sz w:val="20"/>
                <w:szCs w:val="20"/>
              </w:rPr>
            </w:pPr>
            <w:r>
              <w:rPr>
                <w:rFonts w:ascii="Times New Roman" w:hAnsi="Times New Roman" w:cs="Times New Roman"/>
                <w:sz w:val="20"/>
                <w:szCs w:val="20"/>
              </w:rPr>
              <w:t>Oprávnění příjemci podpory</w:t>
            </w:r>
            <w:r w:rsidRPr="00DF742C">
              <w:rPr>
                <w:rFonts w:ascii="Times New Roman" w:hAnsi="Times New Roman" w:cs="Times New Roman"/>
                <w:sz w:val="20"/>
                <w:szCs w:val="20"/>
              </w:rPr>
              <w:t xml:space="preserve"> </w:t>
            </w:r>
          </w:p>
        </w:tc>
        <w:tc>
          <w:tcPr>
            <w:tcW w:w="6964" w:type="dxa"/>
            <w:gridSpan w:val="7"/>
            <w:shd w:val="clear" w:color="auto" w:fill="auto"/>
          </w:tcPr>
          <w:p w:rsidR="004D5AA1" w:rsidRPr="00E97C05" w:rsidRDefault="00FC064D" w:rsidP="00710A9B">
            <w:pPr>
              <w:pStyle w:val="Odstavecseseznamem"/>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z</w:t>
            </w:r>
            <w:r w:rsidR="004D5AA1" w:rsidRPr="00E97C05">
              <w:rPr>
                <w:rFonts w:ascii="Times New Roman" w:hAnsi="Times New Roman" w:cs="Times New Roman"/>
                <w:sz w:val="20"/>
                <w:szCs w:val="20"/>
              </w:rPr>
              <w:t>ařízení péče o děti do 3 let</w:t>
            </w:r>
          </w:p>
          <w:p w:rsidR="004D5AA1" w:rsidRPr="00E97C05" w:rsidRDefault="004D5AA1" w:rsidP="00710A9B">
            <w:pPr>
              <w:pStyle w:val="Odstavecseseznamem"/>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školy a školská za</w:t>
            </w:r>
            <w:r w:rsidR="00FC064D" w:rsidRPr="00E97C05">
              <w:rPr>
                <w:rFonts w:ascii="Times New Roman" w:hAnsi="Times New Roman" w:cs="Times New Roman"/>
                <w:sz w:val="20"/>
                <w:szCs w:val="20"/>
              </w:rPr>
              <w:t xml:space="preserve">řízení v oblasti předškolního, </w:t>
            </w:r>
            <w:r w:rsidRPr="00E97C05">
              <w:rPr>
                <w:rFonts w:ascii="Times New Roman" w:hAnsi="Times New Roman" w:cs="Times New Roman"/>
                <w:sz w:val="20"/>
                <w:szCs w:val="20"/>
              </w:rPr>
              <w:t>základního</w:t>
            </w:r>
            <w:r w:rsidR="00FC064D" w:rsidRPr="00E97C05">
              <w:rPr>
                <w:rFonts w:ascii="Times New Roman" w:hAnsi="Times New Roman" w:cs="Times New Roman"/>
                <w:sz w:val="20"/>
                <w:szCs w:val="20"/>
              </w:rPr>
              <w:t xml:space="preserve"> a středního</w:t>
            </w:r>
            <w:r w:rsidRPr="00E97C05">
              <w:rPr>
                <w:rFonts w:ascii="Times New Roman" w:hAnsi="Times New Roman" w:cs="Times New Roman"/>
                <w:sz w:val="20"/>
                <w:szCs w:val="20"/>
              </w:rPr>
              <w:t xml:space="preserve"> vzdělávání,  </w:t>
            </w:r>
          </w:p>
          <w:p w:rsidR="004D5AA1" w:rsidRPr="00E97C05" w:rsidRDefault="004D5AA1" w:rsidP="00710A9B">
            <w:pPr>
              <w:pStyle w:val="Odstavecseseznamem"/>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další subjekty podílející se na realizaci vzdělávacích aktivit</w:t>
            </w:r>
          </w:p>
          <w:p w:rsidR="004D5AA1" w:rsidRPr="00E97C05" w:rsidRDefault="004D5AA1" w:rsidP="00710A9B">
            <w:pPr>
              <w:pStyle w:val="Odstavecseseznamem"/>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obce</w:t>
            </w:r>
          </w:p>
          <w:p w:rsidR="004D5AA1" w:rsidRPr="00E97C05" w:rsidRDefault="004D5AA1" w:rsidP="00710A9B">
            <w:pPr>
              <w:pStyle w:val="Odstavecseseznamem"/>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organizace zřizované nebo zakládané obcemi</w:t>
            </w:r>
          </w:p>
          <w:p w:rsidR="004D5AA1" w:rsidRPr="00E97C05" w:rsidRDefault="004D5AA1" w:rsidP="00710A9B">
            <w:pPr>
              <w:pStyle w:val="Odstavecseseznamem"/>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nestátní neziskové organizace</w:t>
            </w:r>
          </w:p>
          <w:p w:rsidR="004D5AA1" w:rsidRPr="00E97C05" w:rsidRDefault="004D5AA1" w:rsidP="00710A9B">
            <w:pPr>
              <w:pStyle w:val="Odstavecseseznamem"/>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církve</w:t>
            </w:r>
          </w:p>
          <w:p w:rsidR="004D5AA1" w:rsidRPr="00E97C05" w:rsidRDefault="004D5AA1" w:rsidP="00710A9B">
            <w:pPr>
              <w:pStyle w:val="Odstavecseseznamem"/>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církevní organizace</w:t>
            </w:r>
          </w:p>
          <w:p w:rsidR="004D5AA1" w:rsidRPr="00E97C05" w:rsidRDefault="004D5AA1" w:rsidP="00710A9B">
            <w:pPr>
              <w:pStyle w:val="Odstavecseseznamem"/>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t>organizační složky státu</w:t>
            </w:r>
          </w:p>
          <w:p w:rsidR="004D5AA1" w:rsidRPr="00E97C05" w:rsidRDefault="004D5AA1" w:rsidP="00710A9B">
            <w:pPr>
              <w:pStyle w:val="Odstavecseseznamem"/>
              <w:numPr>
                <w:ilvl w:val="0"/>
                <w:numId w:val="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E97C05">
              <w:rPr>
                <w:rFonts w:ascii="Times New Roman" w:hAnsi="Times New Roman" w:cs="Times New Roman"/>
                <w:sz w:val="20"/>
                <w:szCs w:val="20"/>
              </w:rPr>
              <w:lastRenderedPageBreak/>
              <w:t>příspěvkové organizace organizačních složek státu</w:t>
            </w:r>
          </w:p>
        </w:tc>
      </w:tr>
      <w:tr w:rsidR="004D5AA1" w:rsidRPr="00DF742C" w:rsidTr="00451D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D5AA1" w:rsidRPr="00DF742C" w:rsidRDefault="004D5AA1" w:rsidP="00451DF6">
            <w:pPr>
              <w:ind w:firstLine="0"/>
              <w:jc w:val="left"/>
              <w:rPr>
                <w:rFonts w:ascii="Times New Roman" w:hAnsi="Times New Roman" w:cs="Times New Roman"/>
                <w:sz w:val="20"/>
                <w:szCs w:val="20"/>
              </w:rPr>
            </w:pPr>
            <w:r>
              <w:rPr>
                <w:rFonts w:ascii="Times New Roman" w:hAnsi="Times New Roman" w:cs="Times New Roman"/>
                <w:sz w:val="20"/>
                <w:szCs w:val="20"/>
              </w:rPr>
              <w:lastRenderedPageBreak/>
              <w:t>Další podmínky a omezení</w:t>
            </w:r>
            <w:r w:rsidRPr="00DF742C">
              <w:rPr>
                <w:rFonts w:ascii="Times New Roman" w:hAnsi="Times New Roman" w:cs="Times New Roman"/>
                <w:sz w:val="20"/>
                <w:szCs w:val="20"/>
              </w:rPr>
              <w:t xml:space="preserve"> </w:t>
            </w:r>
          </w:p>
        </w:tc>
        <w:tc>
          <w:tcPr>
            <w:tcW w:w="6964" w:type="dxa"/>
            <w:gridSpan w:val="7"/>
            <w:shd w:val="clear" w:color="auto" w:fill="auto"/>
          </w:tcPr>
          <w:p w:rsidR="00FC064D" w:rsidRPr="00DF742C" w:rsidRDefault="00FC064D" w:rsidP="00FC064D">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Budou podpořeny projekty nezakládající veřejnou podporu ve smyslu čl. 107 odst. 1 Smlouvy o fungování EU.</w:t>
            </w:r>
          </w:p>
          <w:p w:rsidR="004D5AA1" w:rsidRPr="004D5AA1" w:rsidRDefault="00FC064D" w:rsidP="00FC064D">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DF742C">
              <w:rPr>
                <w:rFonts w:ascii="Times New Roman" w:hAnsi="Times New Roman" w:cs="Times New Roman"/>
                <w:sz w:val="20"/>
                <w:szCs w:val="20"/>
              </w:rPr>
              <w:t>Budou podporovány aktivity v rozsahu zákona č. 561/2004 Sb., o předškolním, základním, středním, vyšším odborném a jiném vzdělávání (školský zákon) a zákona č. 247/2014 Sb., o poskytování služby péče o dítě v dětské skupině a o změně souvisejících zákonů.</w:t>
            </w:r>
          </w:p>
        </w:tc>
      </w:tr>
      <w:tr w:rsidR="004D5AA1" w:rsidRPr="00DF742C" w:rsidTr="00451D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D5AA1" w:rsidRPr="00DF742C" w:rsidRDefault="004D5AA1" w:rsidP="00451DF6">
            <w:pPr>
              <w:ind w:firstLine="0"/>
              <w:jc w:val="left"/>
              <w:rPr>
                <w:rFonts w:ascii="Times New Roman" w:hAnsi="Times New Roman" w:cs="Times New Roman"/>
                <w:sz w:val="20"/>
                <w:szCs w:val="20"/>
              </w:rPr>
            </w:pPr>
            <w:r w:rsidRPr="00DF742C">
              <w:rPr>
                <w:rFonts w:ascii="Times New Roman" w:hAnsi="Times New Roman" w:cs="Times New Roman"/>
                <w:sz w:val="20"/>
                <w:szCs w:val="20"/>
              </w:rPr>
              <w:t>Minimální a maximální výše způsobilých výdajů</w:t>
            </w:r>
          </w:p>
        </w:tc>
        <w:tc>
          <w:tcPr>
            <w:tcW w:w="6964" w:type="dxa"/>
            <w:gridSpan w:val="7"/>
            <w:shd w:val="clear" w:color="auto" w:fill="auto"/>
          </w:tcPr>
          <w:p w:rsidR="004D5AA1" w:rsidRPr="00FC064D" w:rsidRDefault="004D5AA1" w:rsidP="00451DF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FC064D">
              <w:rPr>
                <w:rFonts w:ascii="Times New Roman" w:hAnsi="Times New Roman" w:cs="Times New Roman"/>
                <w:sz w:val="20"/>
                <w:szCs w:val="20"/>
              </w:rPr>
              <w:t xml:space="preserve">MAS předpokládá stanovení limitů pro minimální a maximální výši celkových způsobilých výdajů od 100 000 Kč do 2 000 000 Kč. </w:t>
            </w:r>
          </w:p>
          <w:p w:rsidR="004D5AA1" w:rsidRPr="004D5AA1" w:rsidRDefault="004D5AA1" w:rsidP="00451DF6">
            <w:pPr>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sidRPr="00FC064D">
              <w:rPr>
                <w:rFonts w:ascii="Times New Roman" w:hAnsi="Times New Roman" w:cs="Times New Roman"/>
                <w:sz w:val="20"/>
                <w:szCs w:val="20"/>
              </w:rPr>
              <w:t xml:space="preserve">Minimální a maximální výše celkových způsobilých výdajů bude stanovena až na konkrétní výzvě MAS. </w:t>
            </w:r>
          </w:p>
        </w:tc>
      </w:tr>
      <w:tr w:rsidR="004D5AA1" w:rsidRPr="00DF742C" w:rsidTr="00451DF6">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4D5AA1" w:rsidRPr="00DF742C" w:rsidRDefault="004D5AA1" w:rsidP="00451DF6">
            <w:pPr>
              <w:ind w:firstLine="0"/>
              <w:jc w:val="left"/>
              <w:rPr>
                <w:rFonts w:ascii="Times New Roman" w:hAnsi="Times New Roman" w:cs="Times New Roman"/>
                <w:sz w:val="20"/>
                <w:szCs w:val="20"/>
              </w:rPr>
            </w:pPr>
            <w:r w:rsidRPr="00DF742C">
              <w:rPr>
                <w:rFonts w:ascii="Times New Roman" w:hAnsi="Times New Roman" w:cs="Times New Roman"/>
                <w:sz w:val="20"/>
                <w:szCs w:val="20"/>
              </w:rPr>
              <w:t>Principy pro určení preferenčních kritérií</w:t>
            </w:r>
          </w:p>
        </w:tc>
        <w:tc>
          <w:tcPr>
            <w:tcW w:w="6964" w:type="dxa"/>
            <w:gridSpan w:val="7"/>
            <w:tcBorders>
              <w:top w:val="single" w:sz="4" w:space="0" w:color="auto"/>
              <w:left w:val="single" w:sz="4" w:space="0" w:color="auto"/>
              <w:bottom w:val="single" w:sz="4" w:space="0" w:color="auto"/>
              <w:right w:val="single" w:sz="4" w:space="0" w:color="auto"/>
            </w:tcBorders>
            <w:shd w:val="clear" w:color="auto" w:fill="auto"/>
          </w:tcPr>
          <w:p w:rsidR="004D5AA1" w:rsidRPr="007E47BD" w:rsidRDefault="004D5AA1" w:rsidP="00451DF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Konkrétní preferenční kritéria budou nastavena vždy s výzvou MAS.</w:t>
            </w:r>
          </w:p>
          <w:p w:rsidR="004D5AA1" w:rsidRPr="007E47BD" w:rsidRDefault="004D5AA1" w:rsidP="00451DF6">
            <w:pPr>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Principy pro zaměření preferenčních kritérií:</w:t>
            </w:r>
          </w:p>
          <w:p w:rsidR="004D5AA1" w:rsidRPr="007E47BD"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1. Zvýšení zaměstnanosti v území MAS SKCH (např. vytvoření každého nového pracovního místa)</w:t>
            </w:r>
          </w:p>
          <w:p w:rsidR="004D5AA1" w:rsidRPr="007E47BD"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2. Uplatňování inovačních přístupů</w:t>
            </w:r>
          </w:p>
          <w:p w:rsidR="004D5AA1" w:rsidRPr="007E47BD"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3. Uplatňování integračních přístupů</w:t>
            </w:r>
          </w:p>
          <w:p w:rsidR="004D5AA1" w:rsidRPr="007E47BD"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4. Projekty se zkrácenou dobou realizace (méně než 12 měsíců) ve výzvách 2016, 2017</w:t>
            </w:r>
          </w:p>
          <w:p w:rsidR="004D5AA1" w:rsidRPr="007E47BD"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5. Dopad projektu na více obcí či jejich částí na území MAS SKCH</w:t>
            </w:r>
          </w:p>
          <w:p w:rsidR="004D5AA1" w:rsidRPr="007E47BD"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6. Rozvoj a podpora stávajícího potenciálu území (např. využití stávajících objektů a zařízení</w:t>
            </w:r>
          </w:p>
          <w:p w:rsidR="004D5AA1" w:rsidRPr="007E47BD"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7. Zaměření dopadu projektu na ženy v aktivním věku, nebo osoby ohrožené sociálním vyloučením</w:t>
            </w:r>
          </w:p>
          <w:p w:rsidR="004D5AA1" w:rsidRPr="007E47BD"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8. Návaznost na další opatření ve strategii CLLD, nebo na již realizované projekty či záměry jiných subjektů</w:t>
            </w:r>
          </w:p>
          <w:p w:rsidR="004D5AA1" w:rsidRPr="007E47BD"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9. Projekt má pozitivní vliv na životní prostředí, 3E</w:t>
            </w:r>
          </w:p>
          <w:p w:rsidR="004D5AA1" w:rsidRPr="004D5AA1" w:rsidRDefault="004D5AA1" w:rsidP="00451DF6">
            <w:pPr>
              <w:spacing w:before="0" w:after="0"/>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7E47BD">
              <w:rPr>
                <w:rFonts w:ascii="Times New Roman" w:hAnsi="Times New Roman" w:cs="Times New Roman"/>
                <w:sz w:val="20"/>
                <w:szCs w:val="20"/>
              </w:rPr>
              <w:t>10. Propagace přínosu projektu (na základě nepovinné přílohy) a spolupráce s MAS</w:t>
            </w:r>
          </w:p>
        </w:tc>
      </w:tr>
      <w:tr w:rsidR="004D5AA1" w:rsidRPr="00DF742C" w:rsidTr="00451D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C5E0B3" w:themeFill="accent6" w:themeFillTint="66"/>
          </w:tcPr>
          <w:p w:rsidR="004D5AA1" w:rsidRPr="00DF742C" w:rsidRDefault="004D5AA1" w:rsidP="00451DF6">
            <w:pPr>
              <w:ind w:firstLine="0"/>
              <w:jc w:val="left"/>
              <w:rPr>
                <w:rFonts w:ascii="Times New Roman" w:hAnsi="Times New Roman" w:cs="Times New Roman"/>
                <w:sz w:val="20"/>
                <w:szCs w:val="20"/>
              </w:rPr>
            </w:pPr>
            <w:r>
              <w:rPr>
                <w:rFonts w:ascii="Times New Roman" w:hAnsi="Times New Roman" w:cs="Times New Roman"/>
                <w:sz w:val="20"/>
                <w:szCs w:val="20"/>
              </w:rPr>
              <w:t>Typy projektů</w:t>
            </w:r>
          </w:p>
        </w:tc>
        <w:tc>
          <w:tcPr>
            <w:tcW w:w="6964" w:type="dxa"/>
            <w:gridSpan w:val="7"/>
            <w:shd w:val="clear" w:color="auto" w:fill="auto"/>
          </w:tcPr>
          <w:p w:rsidR="007E47BD" w:rsidRPr="00DF742C" w:rsidRDefault="007E47BD" w:rsidP="00710A9B">
            <w:pPr>
              <w:pStyle w:val="Odstavecseseznamem"/>
              <w:numPr>
                <w:ilvl w:val="0"/>
                <w:numId w:val="6"/>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u w:val="single"/>
              </w:rPr>
            </w:pPr>
            <w:r w:rsidRPr="00DF742C">
              <w:rPr>
                <w:rFonts w:ascii="Times New Roman" w:hAnsi="Times New Roman" w:cs="Times New Roman"/>
                <w:sz w:val="20"/>
                <w:szCs w:val="20"/>
                <w:u w:val="single"/>
              </w:rPr>
              <w:t>Podpora infrastruktury pro předškolní vzdělávání – podpora zařízení péče o děti do 3 let, dětských skupin a mateřských škol</w:t>
            </w:r>
          </w:p>
          <w:p w:rsidR="007E47BD" w:rsidRPr="00DF742C" w:rsidRDefault="007E47BD" w:rsidP="00710A9B">
            <w:pPr>
              <w:pStyle w:val="Odstavecseseznamem"/>
              <w:numPr>
                <w:ilvl w:val="0"/>
                <w:numId w:val="4"/>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Stavby, stavební úpravy, pořízení vybavení za účelem zajištění dostatečné kapacity kvalitních a cenově dostupných zařízení péče o děti (součástí projektu na stavbu či stavební úpravy infrastruktury pro předškolní zařízení mohou být úpravy venkovního prostranství - zeleň, herní prvky)</w:t>
            </w:r>
          </w:p>
          <w:p w:rsidR="007E47BD" w:rsidRPr="009411F0" w:rsidRDefault="007E47BD" w:rsidP="00710A9B">
            <w:pPr>
              <w:pStyle w:val="Odstavecseseznamem"/>
              <w:numPr>
                <w:ilvl w:val="0"/>
                <w:numId w:val="4"/>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411F0">
              <w:rPr>
                <w:rFonts w:ascii="Times New Roman" w:hAnsi="Times New Roman" w:cs="Times New Roman"/>
                <w:sz w:val="20"/>
                <w:szCs w:val="20"/>
              </w:rPr>
              <w:t>Podpora sociální inkluze prostřednictvím stavebních úprav budov, učeben a venkovních prostor, pořízení vybavení, kompenzačních pomůcek a kompenzačního vybavení, nezbytných pro zajištění rovného přístupu ke vzdělávání sociálně vyloučeným osobám</w:t>
            </w:r>
          </w:p>
          <w:p w:rsidR="007E47BD" w:rsidRPr="009411F0" w:rsidRDefault="007E47BD" w:rsidP="00710A9B">
            <w:pPr>
              <w:pStyle w:val="Odstavecseseznamem"/>
              <w:numPr>
                <w:ilvl w:val="0"/>
                <w:numId w:val="6"/>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u w:val="single"/>
              </w:rPr>
            </w:pPr>
            <w:r w:rsidRPr="009411F0">
              <w:rPr>
                <w:rFonts w:ascii="Times New Roman" w:hAnsi="Times New Roman" w:cs="Times New Roman"/>
                <w:sz w:val="20"/>
                <w:szCs w:val="20"/>
                <w:u w:val="single"/>
              </w:rPr>
              <w:t>Podpora infrastruktury pro základní vzdělávání v základních školách</w:t>
            </w:r>
          </w:p>
          <w:p w:rsidR="007E47BD" w:rsidRPr="009411F0" w:rsidRDefault="007E47BD" w:rsidP="00710A9B">
            <w:pPr>
              <w:pStyle w:val="Odstavecseseznamem"/>
              <w:numPr>
                <w:ilvl w:val="0"/>
                <w:numId w:val="5"/>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9411F0">
              <w:rPr>
                <w:rFonts w:ascii="Times New Roman" w:hAnsi="Times New Roman" w:cs="Times New Roman"/>
                <w:sz w:val="20"/>
                <w:szCs w:val="20"/>
              </w:rPr>
              <w:t>Stavební úpravy, pořízení vybavení pro zajištění rozvoje žáků v následujících klíčových kompeten</w:t>
            </w:r>
            <w:r w:rsidR="003B0026" w:rsidRPr="009411F0">
              <w:rPr>
                <w:rFonts w:ascii="Times New Roman" w:hAnsi="Times New Roman" w:cs="Times New Roman"/>
                <w:sz w:val="20"/>
                <w:szCs w:val="20"/>
              </w:rPr>
              <w:t xml:space="preserve">cích </w:t>
            </w:r>
            <w:r w:rsidRPr="009411F0">
              <w:rPr>
                <w:rFonts w:ascii="Times New Roman" w:hAnsi="Times New Roman" w:cs="Times New Roman"/>
                <w:sz w:val="20"/>
                <w:szCs w:val="20"/>
              </w:rPr>
              <w:t>v oblastech komunikace v cizích jazycích, v oblasti technických a řemeslných oborů, přírodních věd, ve schopnosti práce s digitálními technologiemi.</w:t>
            </w:r>
          </w:p>
          <w:p w:rsidR="007E47BD" w:rsidRPr="009411F0" w:rsidRDefault="007E47BD" w:rsidP="00710A9B">
            <w:pPr>
              <w:pStyle w:val="Odstavecseseznamem"/>
              <w:numPr>
                <w:ilvl w:val="0"/>
                <w:numId w:val="5"/>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411F0">
              <w:rPr>
                <w:rFonts w:ascii="Times New Roman" w:hAnsi="Times New Roman" w:cs="Times New Roman"/>
                <w:sz w:val="20"/>
                <w:szCs w:val="20"/>
              </w:rPr>
              <w:t>Podpora sociální inkluze prostřednictvím stavebních úprav budov a učeben, školních poradenských pracovišť, pořízení vybavení a kompenzačních pomůcek a kompenzačního vybavení pro děti se SVP, nezbytných pro zajištění rovného přístupu ke vzdělávání sociálně vyloučeným osobám</w:t>
            </w:r>
          </w:p>
          <w:p w:rsidR="004D5AA1" w:rsidRDefault="007E47BD" w:rsidP="00710A9B">
            <w:pPr>
              <w:pStyle w:val="Odstavecseseznamem"/>
              <w:numPr>
                <w:ilvl w:val="0"/>
                <w:numId w:val="5"/>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7E47BD">
              <w:rPr>
                <w:rFonts w:ascii="Times New Roman" w:hAnsi="Times New Roman" w:cs="Times New Roman"/>
                <w:sz w:val="20"/>
                <w:szCs w:val="20"/>
              </w:rPr>
              <w:t>Zajištění vnitřní konektivity škol a připojení k internetu – rozvoj vnitřní konektivity v prostorách škol a školských zařízení a připojení k internetu.</w:t>
            </w:r>
          </w:p>
          <w:p w:rsidR="007E47BD" w:rsidRPr="00DF742C" w:rsidRDefault="007E47BD" w:rsidP="00710A9B">
            <w:pPr>
              <w:pStyle w:val="Odstavecseseznamem"/>
              <w:numPr>
                <w:ilvl w:val="0"/>
                <w:numId w:val="20"/>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u w:val="single"/>
              </w:rPr>
            </w:pPr>
            <w:r w:rsidRPr="00DF742C">
              <w:rPr>
                <w:rFonts w:ascii="Times New Roman" w:hAnsi="Times New Roman" w:cs="Times New Roman"/>
                <w:sz w:val="20"/>
                <w:szCs w:val="20"/>
                <w:u w:val="single"/>
              </w:rPr>
              <w:lastRenderedPageBreak/>
              <w:t>Podpora infrastruktury škol a školských zařízení pro střední vzdělávání</w:t>
            </w:r>
          </w:p>
          <w:p w:rsidR="007E47BD" w:rsidRPr="00DF742C" w:rsidRDefault="007E47BD" w:rsidP="00710A9B">
            <w:pPr>
              <w:pStyle w:val="Odstavecseseznamem"/>
              <w:numPr>
                <w:ilvl w:val="0"/>
                <w:numId w:val="1"/>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Stavební úpravy, pořízení vybavení pro zajištění rozvoje klíčových kompetencí v oblastech komunikace v cizích jazycích a v oblasti technických a řemeslných oborů, přírodních věd a schopnosti práce s digitálními technologiemi, za účelem zvýšení kvality vzdělávání ve vazbě na budoucí uplatnění na trhu práce a potřeby sladění nabídky a poptávky na regionálním trhu práce.</w:t>
            </w:r>
          </w:p>
          <w:p w:rsidR="007E47BD" w:rsidRPr="009411F0" w:rsidRDefault="007E47BD" w:rsidP="00710A9B">
            <w:pPr>
              <w:pStyle w:val="Odstavecseseznamem"/>
              <w:numPr>
                <w:ilvl w:val="0"/>
                <w:numId w:val="1"/>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411F0">
              <w:rPr>
                <w:rFonts w:ascii="Times New Roman" w:hAnsi="Times New Roman" w:cs="Times New Roman"/>
                <w:sz w:val="20"/>
                <w:szCs w:val="20"/>
              </w:rPr>
              <w:t>Podpora sociální inkluze prostřednictvím stavebních úprav budov a učeben, školních poradenských pracovišť, pořízení vybavení, kompenzačních pomůcek a kompenzačního vybavení pro děti se SVP, nezbytných pro zajištění rovného přístupu ke vzdělávání sociálně vyloučeným osobám.</w:t>
            </w:r>
          </w:p>
          <w:p w:rsidR="00451DF6" w:rsidRPr="00451DF6" w:rsidRDefault="007E47BD" w:rsidP="00710A9B">
            <w:pPr>
              <w:pStyle w:val="Odstavecseseznamem"/>
              <w:numPr>
                <w:ilvl w:val="0"/>
                <w:numId w:val="1"/>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Zajištění vnitřní konektivity škol a připojení k internetu – rozvoj vnitřní konektivity v prostorách škol a školských zařízení a připojení k internetu.</w:t>
            </w:r>
          </w:p>
          <w:p w:rsidR="003B0026" w:rsidRPr="00451DF6" w:rsidRDefault="003B0026" w:rsidP="00710A9B">
            <w:pPr>
              <w:pStyle w:val="Odstavecseseznamem"/>
              <w:numPr>
                <w:ilvl w:val="0"/>
                <w:numId w:val="21"/>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51DF6">
              <w:rPr>
                <w:rFonts w:ascii="Times New Roman" w:hAnsi="Times New Roman" w:cs="Times New Roman"/>
                <w:sz w:val="20"/>
                <w:szCs w:val="20"/>
                <w:u w:val="single"/>
              </w:rPr>
              <w:t>Podpora infrastruktury pro celoživotní vzdělávání v klíčových kompetencích</w:t>
            </w:r>
            <w:r w:rsidRPr="00451DF6">
              <w:rPr>
                <w:rFonts w:ascii="Times New Roman" w:hAnsi="Times New Roman" w:cs="Times New Roman"/>
                <w:b/>
                <w:sz w:val="20"/>
                <w:szCs w:val="20"/>
              </w:rPr>
              <w:t xml:space="preserve"> </w:t>
            </w:r>
            <w:r w:rsidRPr="00451DF6">
              <w:rPr>
                <w:rFonts w:ascii="Times New Roman" w:hAnsi="Times New Roman" w:cs="Times New Roman"/>
                <w:sz w:val="20"/>
                <w:szCs w:val="20"/>
              </w:rPr>
              <w:t>(v oblastech komunikace v cizích jazycích, v oblasti technických a řemeslných oborů, přírodních věd, ve schopnosti práce s digitálními technologiemi).</w:t>
            </w:r>
          </w:p>
          <w:p w:rsidR="003B0026" w:rsidRPr="00DF742C" w:rsidRDefault="003B0026" w:rsidP="00710A9B">
            <w:pPr>
              <w:pStyle w:val="Odstavecseseznamem"/>
              <w:numPr>
                <w:ilvl w:val="0"/>
                <w:numId w:val="2"/>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Stavební úpravy, pořízení vybavení pro vybudování a zkvalitnění kapacity pro účely dalšího vzdělávání ve vazbě na potřeby sladění nabídky a poptávky na regionálním trhu práce.</w:t>
            </w:r>
          </w:p>
          <w:p w:rsidR="003B0026" w:rsidRPr="00451DF6" w:rsidRDefault="003B0026" w:rsidP="00710A9B">
            <w:pPr>
              <w:pStyle w:val="Odstavecseseznamem"/>
              <w:numPr>
                <w:ilvl w:val="0"/>
                <w:numId w:val="21"/>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u w:val="single"/>
              </w:rPr>
            </w:pPr>
            <w:r w:rsidRPr="00451DF6">
              <w:rPr>
                <w:rFonts w:ascii="Times New Roman" w:hAnsi="Times New Roman" w:cs="Times New Roman"/>
                <w:sz w:val="20"/>
                <w:szCs w:val="20"/>
                <w:u w:val="single"/>
              </w:rPr>
              <w:t>Podpora infrastruktury pro zájmové a neformální vzdělávání mládeže</w:t>
            </w:r>
          </w:p>
          <w:p w:rsidR="003B0026" w:rsidRPr="00DF742C" w:rsidRDefault="003B0026" w:rsidP="00710A9B">
            <w:pPr>
              <w:pStyle w:val="Odstavecseseznamem"/>
              <w:numPr>
                <w:ilvl w:val="0"/>
                <w:numId w:val="3"/>
              </w:numPr>
              <w:spacing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F742C">
              <w:rPr>
                <w:rFonts w:ascii="Times New Roman" w:hAnsi="Times New Roman" w:cs="Times New Roman"/>
                <w:sz w:val="20"/>
                <w:szCs w:val="20"/>
              </w:rPr>
              <w:t>Stavební úpravy, pořízení vybavení pro zajištění rozvoje klíčových kompetencí formou zájmového a neformálního vzdělávání (v oblastech komunikace v cizích jazycích, v oblasti technických a řemeslných oborů, přírodních věd, ve schopnosti práce s digitálními technologiemi).</w:t>
            </w:r>
          </w:p>
          <w:p w:rsidR="007E47BD" w:rsidRPr="007E47BD" w:rsidRDefault="003B0026" w:rsidP="003B0026">
            <w:pPr>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37ADE">
              <w:rPr>
                <w:rFonts w:ascii="Times New Roman" w:hAnsi="Times New Roman" w:cs="Times New Roman"/>
                <w:sz w:val="20"/>
                <w:szCs w:val="20"/>
              </w:rPr>
              <w:t>Jako doplňková aktivita bude podporováno zahrnutí zeleně v okolí budov a na budovách, např. zelené zdi a střechy a zahrady.</w:t>
            </w:r>
          </w:p>
        </w:tc>
      </w:tr>
      <w:tr w:rsidR="004D5AA1" w:rsidRPr="004D5AA1" w:rsidTr="00E97C05">
        <w:trPr>
          <w:gridAfter w:val="1"/>
          <w:cnfStyle w:val="000000100000" w:firstRow="0" w:lastRow="0" w:firstColumn="0" w:lastColumn="0" w:oddVBand="0" w:evenVBand="0" w:oddHBand="1" w:evenHBand="0" w:firstRowFirstColumn="0" w:firstRowLastColumn="0" w:lastRowFirstColumn="0" w:lastRowLastColumn="0"/>
          <w:wAfter w:w="18" w:type="dxa"/>
          <w:trHeight w:val="448"/>
        </w:trPr>
        <w:tc>
          <w:tcPr>
            <w:cnfStyle w:val="001000000000" w:firstRow="0" w:lastRow="0" w:firstColumn="1" w:lastColumn="0" w:oddVBand="0" w:evenVBand="0" w:oddHBand="0" w:evenHBand="0" w:firstRowFirstColumn="0" w:firstRowLastColumn="0" w:lastRowFirstColumn="0" w:lastRowLastColumn="0"/>
            <w:tcW w:w="2093" w:type="dxa"/>
            <w:vMerge w:val="restart"/>
            <w:shd w:val="clear" w:color="auto" w:fill="C5E0B3" w:themeFill="accent6" w:themeFillTint="66"/>
          </w:tcPr>
          <w:p w:rsidR="004D5AA1" w:rsidRPr="005D0023" w:rsidRDefault="004D5AA1" w:rsidP="00451DF6">
            <w:pPr>
              <w:spacing w:after="0" w:line="240" w:lineRule="auto"/>
              <w:jc w:val="left"/>
              <w:rPr>
                <w:rFonts w:ascii="Times New Roman" w:hAnsi="Times New Roman" w:cs="Times New Roman"/>
                <w:sz w:val="20"/>
                <w:szCs w:val="20"/>
              </w:rPr>
            </w:pPr>
            <w:r w:rsidRPr="005D0023">
              <w:rPr>
                <w:rFonts w:ascii="Times New Roman" w:hAnsi="Times New Roman" w:cs="Times New Roman"/>
                <w:sz w:val="20"/>
                <w:szCs w:val="20"/>
              </w:rPr>
              <w:lastRenderedPageBreak/>
              <w:t>Výsledky</w:t>
            </w:r>
          </w:p>
        </w:tc>
        <w:tc>
          <w:tcPr>
            <w:tcW w:w="6946" w:type="dxa"/>
            <w:gridSpan w:val="6"/>
            <w:shd w:val="clear" w:color="auto" w:fill="auto"/>
          </w:tcPr>
          <w:p w:rsidR="004D5AA1" w:rsidRPr="008748E9" w:rsidRDefault="004D5AA1" w:rsidP="0087358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48E9">
              <w:rPr>
                <w:rFonts w:ascii="Times New Roman" w:hAnsi="Times New Roman" w:cs="Times New Roman"/>
                <w:sz w:val="20"/>
                <w:szCs w:val="20"/>
              </w:rPr>
              <w:t>Indikátory vychází z programového dokumentu IROP a</w:t>
            </w:r>
            <w:r w:rsidR="008748E9">
              <w:rPr>
                <w:rFonts w:ascii="Times New Roman" w:hAnsi="Times New Roman" w:cs="Times New Roman"/>
                <w:sz w:val="20"/>
                <w:szCs w:val="20"/>
              </w:rPr>
              <w:t xml:space="preserve"> odpovídají specifickému cíli a</w:t>
            </w:r>
            <w:r w:rsidR="008748E9" w:rsidRPr="008748E9">
              <w:rPr>
                <w:rFonts w:ascii="Times New Roman" w:hAnsi="Times New Roman" w:cs="Times New Roman"/>
                <w:sz w:val="20"/>
                <w:szCs w:val="20"/>
              </w:rPr>
              <w:t xml:space="preserve"> podporovaným aktivitám v PR.</w:t>
            </w:r>
          </w:p>
          <w:p w:rsidR="004D5AA1" w:rsidRPr="004D5AA1" w:rsidRDefault="004D5AA1" w:rsidP="0087358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p w:rsidR="004D5AA1" w:rsidRPr="008748E9" w:rsidRDefault="004D5AA1" w:rsidP="0087358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48E9">
              <w:rPr>
                <w:rFonts w:ascii="Times New Roman" w:hAnsi="Times New Roman" w:cs="Times New Roman"/>
                <w:sz w:val="20"/>
                <w:szCs w:val="20"/>
              </w:rPr>
              <w:t>Vých</w:t>
            </w:r>
            <w:r w:rsidR="008748E9">
              <w:rPr>
                <w:rFonts w:ascii="Times New Roman" w:hAnsi="Times New Roman" w:cs="Times New Roman"/>
                <w:sz w:val="20"/>
                <w:szCs w:val="20"/>
              </w:rPr>
              <w:t xml:space="preserve">ozí a cílová hodnota indikátorů </w:t>
            </w:r>
            <w:r w:rsidRPr="008748E9">
              <w:rPr>
                <w:rFonts w:ascii="Times New Roman" w:hAnsi="Times New Roman" w:cs="Times New Roman"/>
                <w:sz w:val="20"/>
                <w:szCs w:val="20"/>
              </w:rPr>
              <w:t>výsledku byla stanovena na základě Doporučení ŘO IROP a byla převzata z programového dokumentu. Datum výchozí hodno</w:t>
            </w:r>
            <w:r w:rsidR="008748E9">
              <w:rPr>
                <w:rFonts w:ascii="Times New Roman" w:hAnsi="Times New Roman" w:cs="Times New Roman"/>
                <w:sz w:val="20"/>
                <w:szCs w:val="20"/>
              </w:rPr>
              <w:t>ty bylo stanoveno k 31. 12. 2013</w:t>
            </w:r>
            <w:r w:rsidRPr="008748E9">
              <w:rPr>
                <w:rFonts w:ascii="Times New Roman" w:hAnsi="Times New Roman" w:cs="Times New Roman"/>
                <w:sz w:val="20"/>
                <w:szCs w:val="20"/>
              </w:rPr>
              <w:t xml:space="preserve"> a cílové hodnoty k 31. 12. 2023. </w:t>
            </w:r>
          </w:p>
          <w:p w:rsidR="004D5AA1" w:rsidRPr="00DA018B" w:rsidRDefault="004D5AA1" w:rsidP="0087358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4D5AA1" w:rsidRPr="00DA018B" w:rsidRDefault="004D5AA1" w:rsidP="0087358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A018B">
              <w:rPr>
                <w:rFonts w:ascii="Times New Roman" w:hAnsi="Times New Roman" w:cs="Times New Roman"/>
                <w:sz w:val="20"/>
                <w:szCs w:val="20"/>
              </w:rPr>
              <w:t xml:space="preserve">Cílová hodnota indikátorů výstupu byla stanovena na základě analýzy absorpční schopnosti MAS SKCh, resp. připravenosti a schopnosti subjektů na území MAS předložit a zrealizovat projekty, které odpovídají dlouhodobým potřebám regionu, dále na základě komunitního projednávání a také s ohledem na výši přidělené alokace pro programový rámec IROP. </w:t>
            </w:r>
          </w:p>
          <w:p w:rsidR="004D5AA1" w:rsidRPr="004D5AA1" w:rsidRDefault="004D5AA1" w:rsidP="0087358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p w:rsidR="004D5AA1" w:rsidRPr="0087358D" w:rsidRDefault="004D5AA1" w:rsidP="0087358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358D">
              <w:rPr>
                <w:rFonts w:ascii="Times New Roman" w:hAnsi="Times New Roman" w:cs="Times New Roman"/>
                <w:sz w:val="20"/>
                <w:szCs w:val="20"/>
              </w:rPr>
              <w:t>Průměr</w:t>
            </w:r>
            <w:r w:rsidR="0087358D" w:rsidRPr="0087358D">
              <w:rPr>
                <w:rFonts w:ascii="Times New Roman" w:hAnsi="Times New Roman" w:cs="Times New Roman"/>
                <w:sz w:val="20"/>
                <w:szCs w:val="20"/>
              </w:rPr>
              <w:t>ná cena za jednotku indikátoru Počet podpořených vzdělávacích zařízení</w:t>
            </w:r>
            <w:r w:rsidRPr="0087358D">
              <w:rPr>
                <w:rFonts w:ascii="Times New Roman" w:hAnsi="Times New Roman" w:cs="Times New Roman"/>
                <w:sz w:val="20"/>
                <w:szCs w:val="20"/>
              </w:rPr>
              <w:t xml:space="preserve"> byla stanovena indikativně, a to na základě analýzy absorpční kapacity území MAS na 1,5 mil. Kč. </w:t>
            </w:r>
          </w:p>
          <w:p w:rsidR="004D5AA1" w:rsidRPr="004D5AA1" w:rsidRDefault="004D5AA1" w:rsidP="0087358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p w:rsidR="004D5AA1" w:rsidRPr="008748E9" w:rsidRDefault="004D5AA1" w:rsidP="0087358D">
            <w:pP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48E9">
              <w:rPr>
                <w:rFonts w:ascii="Times New Roman" w:hAnsi="Times New Roman" w:cs="Times New Roman"/>
                <w:sz w:val="20"/>
                <w:szCs w:val="20"/>
              </w:rPr>
              <w:t xml:space="preserve">Hodnota Milníku byla stanovena s ohledem na stav připravenosti potenciálních projektových záměrů na území MAS v době přípravy strategie a také v souvislosti s předpokládanou výší alokace pro výzvy MAS na rok 2016 a 2017. </w:t>
            </w:r>
          </w:p>
          <w:p w:rsidR="004D5AA1" w:rsidRPr="004D5AA1"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r>
      <w:tr w:rsidR="004D5AA1" w:rsidRPr="004D5AA1" w:rsidTr="00451DF6">
        <w:trPr>
          <w:gridAfter w:val="1"/>
          <w:cnfStyle w:val="000000010000" w:firstRow="0" w:lastRow="0" w:firstColumn="0" w:lastColumn="0" w:oddVBand="0" w:evenVBand="0" w:oddHBand="0" w:evenHBand="1" w:firstRowFirstColumn="0" w:firstRowLastColumn="0" w:lastRowFirstColumn="0" w:lastRowLastColumn="0"/>
          <w:wAfter w:w="18" w:type="dxa"/>
          <w:trHeight w:val="448"/>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D5AA1" w:rsidRPr="005D0023" w:rsidRDefault="004D5AA1" w:rsidP="00451DF6">
            <w:pPr>
              <w:spacing w:after="0" w:line="240" w:lineRule="auto"/>
              <w:jc w:val="left"/>
              <w:rPr>
                <w:rFonts w:ascii="Times New Roman" w:hAnsi="Times New Roman" w:cs="Times New Roman"/>
                <w:sz w:val="20"/>
                <w:szCs w:val="20"/>
              </w:rPr>
            </w:pPr>
          </w:p>
        </w:tc>
        <w:tc>
          <w:tcPr>
            <w:tcW w:w="6946" w:type="dxa"/>
            <w:gridSpan w:val="6"/>
            <w:shd w:val="clear" w:color="auto" w:fill="E2EFD9" w:themeFill="accent6" w:themeFillTint="33"/>
          </w:tcPr>
          <w:p w:rsidR="004D5AA1" w:rsidRPr="00097CE6" w:rsidRDefault="004D5AA1" w:rsidP="00451DF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p w:rsidR="004D5AA1" w:rsidRPr="004D5AA1" w:rsidRDefault="004D5AA1" w:rsidP="00451DF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highlight w:val="yellow"/>
                <w:lang w:eastAsia="cs-CZ"/>
              </w:rPr>
            </w:pPr>
            <w:r w:rsidRPr="00097CE6">
              <w:rPr>
                <w:rFonts w:ascii="Times New Roman" w:hAnsi="Times New Roman" w:cs="Times New Roman"/>
                <w:b/>
                <w:sz w:val="20"/>
                <w:szCs w:val="20"/>
              </w:rPr>
              <w:t>Indikátory výsledku</w:t>
            </w:r>
          </w:p>
        </w:tc>
      </w:tr>
      <w:tr w:rsidR="004D5AA1" w:rsidRPr="004D5AA1" w:rsidTr="00451DF6">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D5AA1" w:rsidRPr="005D0023" w:rsidRDefault="004D5AA1" w:rsidP="00451DF6">
            <w:pPr>
              <w:spacing w:before="0" w:after="0" w:line="240" w:lineRule="auto"/>
              <w:ind w:firstLine="0"/>
              <w:jc w:val="left"/>
              <w:rPr>
                <w:rFonts w:ascii="Times New Roman" w:hAnsi="Times New Roman" w:cs="Times New Roman"/>
                <w:sz w:val="20"/>
                <w:szCs w:val="20"/>
              </w:rPr>
            </w:pPr>
          </w:p>
        </w:tc>
        <w:tc>
          <w:tcPr>
            <w:tcW w:w="1134"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Kód indikátoru</w:t>
            </w:r>
          </w:p>
        </w:tc>
        <w:tc>
          <w:tcPr>
            <w:tcW w:w="1984"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Název indikátoru</w:t>
            </w:r>
          </w:p>
        </w:tc>
        <w:tc>
          <w:tcPr>
            <w:tcW w:w="851"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MJ</w:t>
            </w:r>
          </w:p>
        </w:tc>
        <w:tc>
          <w:tcPr>
            <w:tcW w:w="992" w:type="dxa"/>
            <w:shd w:val="clear" w:color="auto" w:fill="auto"/>
          </w:tcPr>
          <w:p w:rsidR="004D5AA1" w:rsidRPr="00097CE6" w:rsidRDefault="00097CE6"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Výchozí hodnota (2013</w:t>
            </w:r>
            <w:r w:rsidR="004D5AA1" w:rsidRPr="00097CE6">
              <w:rPr>
                <w:rFonts w:ascii="Times New Roman" w:hAnsi="Times New Roman" w:cs="Times New Roman"/>
                <w:b/>
                <w:sz w:val="20"/>
                <w:szCs w:val="20"/>
              </w:rPr>
              <w:t>)</w:t>
            </w:r>
          </w:p>
        </w:tc>
        <w:tc>
          <w:tcPr>
            <w:tcW w:w="992"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Cílová hodnota (2023)</w:t>
            </w:r>
          </w:p>
        </w:tc>
        <w:tc>
          <w:tcPr>
            <w:tcW w:w="993"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Milník</w:t>
            </w:r>
          </w:p>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(2018)</w:t>
            </w:r>
          </w:p>
        </w:tc>
      </w:tr>
      <w:tr w:rsidR="004D5AA1" w:rsidRPr="004D5AA1" w:rsidTr="00E97C05">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D5AA1" w:rsidRPr="005D0023" w:rsidRDefault="004D5AA1" w:rsidP="00451DF6">
            <w:pPr>
              <w:spacing w:before="0" w:after="0" w:line="240" w:lineRule="auto"/>
              <w:ind w:firstLine="0"/>
              <w:jc w:val="left"/>
              <w:rPr>
                <w:rFonts w:ascii="Times New Roman" w:hAnsi="Times New Roman" w:cs="Times New Roman"/>
                <w:b w:val="0"/>
                <w:sz w:val="20"/>
                <w:szCs w:val="20"/>
              </w:rPr>
            </w:pPr>
          </w:p>
        </w:tc>
        <w:tc>
          <w:tcPr>
            <w:tcW w:w="1134" w:type="dxa"/>
            <w:shd w:val="clear" w:color="auto" w:fill="auto"/>
          </w:tcPr>
          <w:p w:rsidR="004D5AA1" w:rsidRPr="00097CE6" w:rsidRDefault="00097CE6" w:rsidP="00451DF6">
            <w:pPr>
              <w:pStyle w:val="Bezmezer"/>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97CE6">
              <w:rPr>
                <w:rFonts w:ascii="Times New Roman" w:hAnsi="Times New Roman" w:cs="Times New Roman"/>
                <w:sz w:val="20"/>
                <w:szCs w:val="20"/>
              </w:rPr>
              <w:t xml:space="preserve">5 00 20  </w:t>
            </w:r>
          </w:p>
        </w:tc>
        <w:tc>
          <w:tcPr>
            <w:tcW w:w="1984" w:type="dxa"/>
            <w:shd w:val="clear" w:color="auto" w:fill="auto"/>
          </w:tcPr>
          <w:p w:rsidR="004D5AA1" w:rsidRPr="00097CE6" w:rsidRDefault="00097CE6" w:rsidP="00451DF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97CE6">
              <w:rPr>
                <w:rFonts w:ascii="Times New Roman" w:hAnsi="Times New Roman" w:cs="Times New Roman"/>
                <w:sz w:val="20"/>
                <w:szCs w:val="20"/>
              </w:rPr>
              <w:t>Podíl tříletých dětí umístěných v předškolním zařízení</w:t>
            </w:r>
          </w:p>
        </w:tc>
        <w:tc>
          <w:tcPr>
            <w:tcW w:w="851" w:type="dxa"/>
            <w:shd w:val="clear" w:color="auto" w:fill="auto"/>
          </w:tcPr>
          <w:p w:rsidR="004D5AA1" w:rsidRPr="00097CE6" w:rsidRDefault="00097CE6" w:rsidP="00451DF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auto"/>
            <w:vAlign w:val="center"/>
          </w:tcPr>
          <w:p w:rsidR="004D5AA1" w:rsidRPr="00097CE6" w:rsidRDefault="00097CE6"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97CE6">
              <w:rPr>
                <w:rFonts w:ascii="Times New Roman" w:hAnsi="Times New Roman" w:cs="Times New Roman"/>
                <w:sz w:val="20"/>
                <w:szCs w:val="20"/>
              </w:rPr>
              <w:t>77,3</w:t>
            </w:r>
          </w:p>
        </w:tc>
        <w:tc>
          <w:tcPr>
            <w:tcW w:w="992" w:type="dxa"/>
            <w:shd w:val="clear" w:color="auto" w:fill="auto"/>
            <w:vAlign w:val="center"/>
          </w:tcPr>
          <w:p w:rsidR="004D5AA1" w:rsidRPr="00097CE6" w:rsidRDefault="00097CE6"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97CE6">
              <w:rPr>
                <w:rFonts w:ascii="Times New Roman" w:hAnsi="Times New Roman" w:cs="Times New Roman"/>
                <w:sz w:val="20"/>
                <w:szCs w:val="20"/>
              </w:rPr>
              <w:t>90,5</w:t>
            </w:r>
          </w:p>
        </w:tc>
        <w:tc>
          <w:tcPr>
            <w:tcW w:w="993" w:type="dxa"/>
            <w:shd w:val="clear" w:color="auto" w:fill="auto"/>
            <w:vAlign w:val="center"/>
          </w:tcPr>
          <w:p w:rsidR="004D5AA1" w:rsidRPr="00097CE6" w:rsidRDefault="00097CE6"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097CE6" w:rsidRPr="004D5AA1" w:rsidTr="00E97C05">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097CE6" w:rsidRPr="005D0023" w:rsidRDefault="00097CE6" w:rsidP="00451DF6">
            <w:pPr>
              <w:spacing w:before="0" w:after="0" w:line="240" w:lineRule="auto"/>
              <w:ind w:firstLine="0"/>
              <w:jc w:val="left"/>
              <w:rPr>
                <w:rFonts w:ascii="Times New Roman" w:hAnsi="Times New Roman" w:cs="Times New Roman"/>
                <w:b w:val="0"/>
                <w:sz w:val="20"/>
                <w:szCs w:val="20"/>
              </w:rPr>
            </w:pPr>
          </w:p>
        </w:tc>
        <w:tc>
          <w:tcPr>
            <w:tcW w:w="1134" w:type="dxa"/>
            <w:shd w:val="clear" w:color="auto" w:fill="auto"/>
          </w:tcPr>
          <w:p w:rsidR="00097CE6" w:rsidRPr="00097CE6" w:rsidRDefault="00097CE6" w:rsidP="00451DF6">
            <w:pPr>
              <w:pStyle w:val="Bezmeze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7CE6">
              <w:rPr>
                <w:rFonts w:ascii="Times New Roman" w:hAnsi="Times New Roman" w:cs="Times New Roman"/>
                <w:sz w:val="20"/>
                <w:szCs w:val="20"/>
              </w:rPr>
              <w:t xml:space="preserve">5 00 30  </w:t>
            </w:r>
          </w:p>
        </w:tc>
        <w:tc>
          <w:tcPr>
            <w:tcW w:w="1984" w:type="dxa"/>
            <w:shd w:val="clear" w:color="auto" w:fill="auto"/>
          </w:tcPr>
          <w:p w:rsidR="00097CE6" w:rsidRPr="00097CE6" w:rsidRDefault="00097CE6"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7CE6">
              <w:rPr>
                <w:rFonts w:ascii="Times New Roman" w:hAnsi="Times New Roman" w:cs="Times New Roman"/>
                <w:sz w:val="20"/>
                <w:szCs w:val="20"/>
              </w:rPr>
              <w:t>Podíl osob předčasně opouštějících vzdělávací systém</w:t>
            </w:r>
          </w:p>
        </w:tc>
        <w:tc>
          <w:tcPr>
            <w:tcW w:w="851" w:type="dxa"/>
            <w:shd w:val="clear" w:color="auto" w:fill="auto"/>
          </w:tcPr>
          <w:p w:rsidR="00097CE6" w:rsidRDefault="00097CE6"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auto"/>
            <w:vAlign w:val="center"/>
          </w:tcPr>
          <w:p w:rsidR="00097CE6" w:rsidRPr="00097CE6" w:rsidRDefault="00097CE6"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992" w:type="dxa"/>
            <w:shd w:val="clear" w:color="auto" w:fill="auto"/>
            <w:vAlign w:val="center"/>
          </w:tcPr>
          <w:p w:rsidR="00097CE6" w:rsidRPr="00097CE6" w:rsidRDefault="00097CE6"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w:t>
            </w:r>
          </w:p>
        </w:tc>
        <w:tc>
          <w:tcPr>
            <w:tcW w:w="993" w:type="dxa"/>
            <w:shd w:val="clear" w:color="auto" w:fill="auto"/>
            <w:vAlign w:val="center"/>
          </w:tcPr>
          <w:p w:rsidR="00097CE6" w:rsidRDefault="008748E9"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r w:rsidR="004D5AA1" w:rsidRPr="004D5AA1" w:rsidTr="00451DF6">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D5AA1" w:rsidRPr="005D0023" w:rsidRDefault="004D5AA1" w:rsidP="00451DF6">
            <w:pPr>
              <w:pStyle w:val="Bezmezer"/>
              <w:spacing w:before="0" w:after="0" w:line="240" w:lineRule="auto"/>
              <w:jc w:val="left"/>
              <w:rPr>
                <w:rFonts w:ascii="Times New Roman" w:hAnsi="Times New Roman" w:cs="Times New Roman"/>
                <w:b w:val="0"/>
                <w:sz w:val="20"/>
                <w:szCs w:val="20"/>
              </w:rPr>
            </w:pPr>
          </w:p>
        </w:tc>
        <w:tc>
          <w:tcPr>
            <w:tcW w:w="6946" w:type="dxa"/>
            <w:gridSpan w:val="6"/>
            <w:shd w:val="clear" w:color="auto" w:fill="E2EFD9" w:themeFill="accent6" w:themeFillTint="33"/>
          </w:tcPr>
          <w:p w:rsidR="004D5AA1" w:rsidRPr="00097CE6" w:rsidRDefault="004D5AA1" w:rsidP="00451DF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p w:rsidR="004D5AA1" w:rsidRPr="00097CE6" w:rsidRDefault="004D5AA1" w:rsidP="00451DF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lang w:eastAsia="cs-CZ"/>
              </w:rPr>
            </w:pPr>
            <w:r w:rsidRPr="00097CE6">
              <w:rPr>
                <w:rFonts w:ascii="Times New Roman" w:hAnsi="Times New Roman" w:cs="Times New Roman"/>
                <w:b/>
                <w:sz w:val="20"/>
                <w:szCs w:val="20"/>
              </w:rPr>
              <w:t>Indikátory výstupu</w:t>
            </w:r>
          </w:p>
        </w:tc>
      </w:tr>
      <w:tr w:rsidR="004D5AA1" w:rsidRPr="004D5AA1" w:rsidTr="00451DF6">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D5AA1" w:rsidRPr="005D0023" w:rsidRDefault="004D5AA1" w:rsidP="00451DF6">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Kód indikátoru</w:t>
            </w:r>
          </w:p>
        </w:tc>
        <w:tc>
          <w:tcPr>
            <w:tcW w:w="1984"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Název indikátoru</w:t>
            </w:r>
          </w:p>
        </w:tc>
        <w:tc>
          <w:tcPr>
            <w:tcW w:w="851"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MJ</w:t>
            </w:r>
          </w:p>
        </w:tc>
        <w:tc>
          <w:tcPr>
            <w:tcW w:w="992"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 xml:space="preserve">Výchozí hodnota (2015) </w:t>
            </w:r>
          </w:p>
        </w:tc>
        <w:tc>
          <w:tcPr>
            <w:tcW w:w="992"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Cílová hodnota (2023)</w:t>
            </w:r>
          </w:p>
        </w:tc>
        <w:tc>
          <w:tcPr>
            <w:tcW w:w="993" w:type="dxa"/>
            <w:shd w:val="clear" w:color="auto" w:fill="auto"/>
          </w:tcPr>
          <w:p w:rsidR="004D5AA1" w:rsidRPr="00097CE6" w:rsidRDefault="004D5AA1"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7CE6">
              <w:rPr>
                <w:rFonts w:ascii="Times New Roman" w:hAnsi="Times New Roman" w:cs="Times New Roman"/>
                <w:b/>
                <w:sz w:val="20"/>
                <w:szCs w:val="20"/>
              </w:rPr>
              <w:t>Milník (2018)</w:t>
            </w:r>
          </w:p>
        </w:tc>
      </w:tr>
      <w:tr w:rsidR="004D5AA1" w:rsidRPr="004D5AA1" w:rsidTr="00E97C05">
        <w:trPr>
          <w:gridAfter w:val="1"/>
          <w:cnfStyle w:val="000000010000" w:firstRow="0" w:lastRow="0" w:firstColumn="0" w:lastColumn="0" w:oddVBand="0" w:evenVBand="0" w:oddHBand="0" w:evenHBand="1"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D5AA1" w:rsidRPr="005D0023" w:rsidRDefault="004D5AA1" w:rsidP="00451DF6">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4D5AA1" w:rsidRPr="004D5AA1" w:rsidRDefault="008748E9" w:rsidP="008748E9">
            <w:pPr>
              <w:pStyle w:val="Bezmezer"/>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sidRPr="008748E9">
              <w:rPr>
                <w:rFonts w:ascii="Times New Roman" w:hAnsi="Times New Roman" w:cs="Times New Roman"/>
                <w:sz w:val="20"/>
                <w:szCs w:val="20"/>
              </w:rPr>
              <w:t xml:space="preserve">5 00 00  </w:t>
            </w:r>
          </w:p>
        </w:tc>
        <w:tc>
          <w:tcPr>
            <w:tcW w:w="1984" w:type="dxa"/>
            <w:shd w:val="clear" w:color="auto" w:fill="auto"/>
          </w:tcPr>
          <w:p w:rsidR="004D5AA1" w:rsidRPr="004D5AA1" w:rsidRDefault="008748E9" w:rsidP="00451DF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Pr>
                <w:rFonts w:ascii="Times New Roman" w:hAnsi="Times New Roman" w:cs="Times New Roman"/>
                <w:sz w:val="20"/>
                <w:szCs w:val="20"/>
              </w:rPr>
              <w:t xml:space="preserve">Počet podpořených </w:t>
            </w:r>
            <w:r w:rsidRPr="008748E9">
              <w:rPr>
                <w:rFonts w:ascii="Times New Roman" w:hAnsi="Times New Roman" w:cs="Times New Roman"/>
                <w:sz w:val="20"/>
                <w:szCs w:val="20"/>
              </w:rPr>
              <w:t>vzdělávacích zařízení</w:t>
            </w:r>
          </w:p>
        </w:tc>
        <w:tc>
          <w:tcPr>
            <w:tcW w:w="851" w:type="dxa"/>
            <w:shd w:val="clear" w:color="auto" w:fill="auto"/>
          </w:tcPr>
          <w:p w:rsidR="004D5AA1" w:rsidRPr="008748E9" w:rsidRDefault="008748E9" w:rsidP="00451DF6">
            <w:pPr>
              <w:spacing w:before="0" w:after="0" w:line="240"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748E9">
              <w:rPr>
                <w:rFonts w:ascii="Times New Roman" w:hAnsi="Times New Roman" w:cs="Times New Roman"/>
                <w:sz w:val="20"/>
                <w:szCs w:val="20"/>
              </w:rPr>
              <w:t>zařízení</w:t>
            </w:r>
          </w:p>
        </w:tc>
        <w:tc>
          <w:tcPr>
            <w:tcW w:w="992" w:type="dxa"/>
            <w:shd w:val="clear" w:color="auto" w:fill="auto"/>
            <w:vAlign w:val="center"/>
          </w:tcPr>
          <w:p w:rsidR="004D5AA1" w:rsidRPr="004D5AA1" w:rsidRDefault="008748E9"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sidRPr="008748E9">
              <w:rPr>
                <w:rFonts w:ascii="Times New Roman" w:hAnsi="Times New Roman" w:cs="Times New Roman"/>
                <w:sz w:val="20"/>
                <w:szCs w:val="20"/>
              </w:rPr>
              <w:t>0</w:t>
            </w:r>
          </w:p>
        </w:tc>
        <w:tc>
          <w:tcPr>
            <w:tcW w:w="992" w:type="dxa"/>
            <w:shd w:val="clear" w:color="auto" w:fill="auto"/>
            <w:vAlign w:val="center"/>
          </w:tcPr>
          <w:p w:rsidR="004D5AA1" w:rsidRPr="004D5AA1" w:rsidRDefault="009411F0"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Pr>
                <w:rFonts w:ascii="Times New Roman" w:hAnsi="Times New Roman" w:cs="Times New Roman"/>
                <w:sz w:val="20"/>
                <w:szCs w:val="20"/>
              </w:rPr>
              <w:t>7</w:t>
            </w:r>
          </w:p>
        </w:tc>
        <w:tc>
          <w:tcPr>
            <w:tcW w:w="993" w:type="dxa"/>
            <w:shd w:val="clear" w:color="auto" w:fill="auto"/>
            <w:vAlign w:val="center"/>
          </w:tcPr>
          <w:p w:rsidR="004D5AA1" w:rsidRPr="004D5AA1" w:rsidRDefault="008748E9" w:rsidP="00E97C05">
            <w:pPr>
              <w:spacing w:before="0" w:after="0"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highlight w:val="yellow"/>
              </w:rPr>
            </w:pPr>
            <w:r w:rsidRPr="008748E9">
              <w:rPr>
                <w:rFonts w:ascii="Times New Roman" w:hAnsi="Times New Roman" w:cs="Times New Roman"/>
                <w:sz w:val="20"/>
                <w:szCs w:val="20"/>
              </w:rPr>
              <w:t>3</w:t>
            </w:r>
          </w:p>
        </w:tc>
      </w:tr>
      <w:tr w:rsidR="004D5AA1" w:rsidRPr="004D5AA1" w:rsidTr="00E97C05">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093" w:type="dxa"/>
            <w:vMerge/>
            <w:shd w:val="clear" w:color="auto" w:fill="C5E0B3" w:themeFill="accent6" w:themeFillTint="66"/>
          </w:tcPr>
          <w:p w:rsidR="004D5AA1" w:rsidRPr="005D0023" w:rsidRDefault="004D5AA1" w:rsidP="00451DF6">
            <w:pPr>
              <w:pStyle w:val="Bezmezer"/>
              <w:spacing w:before="0" w:after="0" w:line="240" w:lineRule="auto"/>
              <w:jc w:val="left"/>
              <w:rPr>
                <w:rFonts w:ascii="Times New Roman" w:hAnsi="Times New Roman" w:cs="Times New Roman"/>
                <w:b w:val="0"/>
                <w:sz w:val="20"/>
                <w:szCs w:val="20"/>
              </w:rPr>
            </w:pPr>
          </w:p>
        </w:tc>
        <w:tc>
          <w:tcPr>
            <w:tcW w:w="1134" w:type="dxa"/>
            <w:shd w:val="clear" w:color="auto" w:fill="auto"/>
          </w:tcPr>
          <w:p w:rsidR="004D5AA1" w:rsidRPr="004D5AA1" w:rsidRDefault="008748E9" w:rsidP="00451DF6">
            <w:pPr>
              <w:pStyle w:val="Bezmeze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8748E9">
              <w:rPr>
                <w:rFonts w:ascii="Times New Roman" w:hAnsi="Times New Roman" w:cs="Times New Roman"/>
                <w:sz w:val="20"/>
                <w:szCs w:val="20"/>
              </w:rPr>
              <w:t>5 00 01</w:t>
            </w:r>
          </w:p>
        </w:tc>
        <w:tc>
          <w:tcPr>
            <w:tcW w:w="1984" w:type="dxa"/>
            <w:shd w:val="clear" w:color="auto" w:fill="auto"/>
          </w:tcPr>
          <w:p w:rsidR="004D5AA1" w:rsidRPr="004D5AA1" w:rsidRDefault="008748E9"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8748E9">
              <w:rPr>
                <w:rFonts w:ascii="Times New Roman" w:hAnsi="Times New Roman" w:cs="Times New Roman"/>
                <w:sz w:val="20"/>
                <w:szCs w:val="20"/>
              </w:rPr>
              <w:t>Kapacita podporovaných zařízení péče o děti nebo vzdělávacích zařízení</w:t>
            </w:r>
          </w:p>
        </w:tc>
        <w:tc>
          <w:tcPr>
            <w:tcW w:w="851" w:type="dxa"/>
            <w:shd w:val="clear" w:color="auto" w:fill="auto"/>
          </w:tcPr>
          <w:p w:rsidR="004D5AA1" w:rsidRPr="008748E9" w:rsidRDefault="008748E9" w:rsidP="00451DF6">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osoby</w:t>
            </w:r>
          </w:p>
        </w:tc>
        <w:tc>
          <w:tcPr>
            <w:tcW w:w="992" w:type="dxa"/>
            <w:shd w:val="clear" w:color="auto" w:fill="auto"/>
            <w:vAlign w:val="center"/>
          </w:tcPr>
          <w:p w:rsidR="004D5AA1" w:rsidRPr="008748E9" w:rsidRDefault="008748E9"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48E9">
              <w:rPr>
                <w:rFonts w:ascii="Times New Roman" w:hAnsi="Times New Roman" w:cs="Times New Roman"/>
                <w:sz w:val="20"/>
                <w:szCs w:val="20"/>
              </w:rPr>
              <w:t>0</w:t>
            </w:r>
          </w:p>
        </w:tc>
        <w:tc>
          <w:tcPr>
            <w:tcW w:w="992" w:type="dxa"/>
            <w:shd w:val="clear" w:color="auto" w:fill="auto"/>
            <w:vAlign w:val="center"/>
          </w:tcPr>
          <w:p w:rsidR="004D5AA1" w:rsidRPr="008748E9" w:rsidRDefault="008748E9"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48E9">
              <w:rPr>
                <w:rFonts w:ascii="Times New Roman" w:hAnsi="Times New Roman" w:cs="Times New Roman"/>
                <w:sz w:val="20"/>
                <w:szCs w:val="20"/>
              </w:rPr>
              <w:t>3</w:t>
            </w:r>
            <w:r>
              <w:rPr>
                <w:rFonts w:ascii="Times New Roman" w:hAnsi="Times New Roman" w:cs="Times New Roman"/>
                <w:sz w:val="20"/>
                <w:szCs w:val="20"/>
              </w:rPr>
              <w:t xml:space="preserve"> </w:t>
            </w:r>
            <w:r w:rsidRPr="008748E9">
              <w:rPr>
                <w:rFonts w:ascii="Times New Roman" w:hAnsi="Times New Roman" w:cs="Times New Roman"/>
                <w:sz w:val="20"/>
                <w:szCs w:val="20"/>
              </w:rPr>
              <w:t>389</w:t>
            </w:r>
          </w:p>
        </w:tc>
        <w:tc>
          <w:tcPr>
            <w:tcW w:w="993" w:type="dxa"/>
            <w:shd w:val="clear" w:color="auto" w:fill="auto"/>
            <w:vAlign w:val="center"/>
          </w:tcPr>
          <w:p w:rsidR="004D5AA1" w:rsidRPr="008748E9" w:rsidRDefault="008748E9" w:rsidP="00E97C05">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r>
    </w:tbl>
    <w:p w:rsidR="00776939" w:rsidRDefault="00776939">
      <w:pPr>
        <w:spacing w:before="0" w:after="160" w:line="259" w:lineRule="auto"/>
        <w:ind w:firstLine="0"/>
        <w:jc w:val="left"/>
        <w:rPr>
          <w:rFonts w:ascii="Times New Roman" w:hAnsi="Times New Roman" w:cs="Times New Roman"/>
          <w:sz w:val="20"/>
          <w:szCs w:val="20"/>
        </w:rPr>
      </w:pPr>
    </w:p>
    <w:p w:rsidR="0037086E" w:rsidRDefault="0037086E">
      <w:pPr>
        <w:spacing w:before="0" w:after="160" w:line="259" w:lineRule="auto"/>
        <w:ind w:firstLine="0"/>
        <w:jc w:val="left"/>
        <w:rPr>
          <w:rFonts w:ascii="Times New Roman" w:hAnsi="Times New Roman" w:cs="Times New Roman"/>
          <w:sz w:val="20"/>
          <w:szCs w:val="20"/>
        </w:rPr>
      </w:pPr>
      <w:r>
        <w:rPr>
          <w:rFonts w:ascii="Times New Roman" w:hAnsi="Times New Roman" w:cs="Times New Roman"/>
          <w:sz w:val="20"/>
          <w:szCs w:val="20"/>
        </w:rPr>
        <w:br w:type="page"/>
      </w:r>
    </w:p>
    <w:p w:rsidR="0037086E" w:rsidRDefault="0037086E" w:rsidP="0037086E">
      <w:pPr>
        <w:spacing w:before="0" w:after="160" w:line="259" w:lineRule="auto"/>
        <w:ind w:firstLine="0"/>
        <w:jc w:val="left"/>
        <w:rPr>
          <w:rFonts w:ascii="Times New Roman" w:hAnsi="Times New Roman" w:cs="Times New Roman"/>
          <w:b/>
          <w:sz w:val="28"/>
          <w:szCs w:val="28"/>
        </w:rPr>
        <w:sectPr w:rsidR="0037086E" w:rsidSect="00A6323E">
          <w:footerReference w:type="default" r:id="rId8"/>
          <w:pgSz w:w="11906" w:h="16838"/>
          <w:pgMar w:top="1417" w:right="1417" w:bottom="1417" w:left="1417" w:header="624" w:footer="680" w:gutter="0"/>
          <w:cols w:space="708"/>
          <w:docGrid w:linePitch="360"/>
        </w:sectPr>
      </w:pPr>
    </w:p>
    <w:p w:rsidR="0037086E" w:rsidRDefault="0037086E" w:rsidP="0037086E">
      <w:pPr>
        <w:spacing w:before="0" w:after="160" w:line="259" w:lineRule="auto"/>
        <w:ind w:firstLine="0"/>
        <w:jc w:val="left"/>
        <w:rPr>
          <w:rFonts w:ascii="Times New Roman" w:hAnsi="Times New Roman" w:cs="Times New Roman"/>
          <w:b/>
          <w:sz w:val="28"/>
          <w:szCs w:val="28"/>
        </w:rPr>
      </w:pPr>
      <w:r w:rsidRPr="0037086E">
        <w:rPr>
          <w:rFonts w:ascii="Times New Roman" w:hAnsi="Times New Roman" w:cs="Times New Roman"/>
          <w:b/>
          <w:sz w:val="28"/>
          <w:szCs w:val="28"/>
        </w:rPr>
        <w:lastRenderedPageBreak/>
        <w:t>Přehled předpokládaných alokací na opatření programového rámce IROP</w:t>
      </w:r>
    </w:p>
    <w:p w:rsidR="00534860" w:rsidRDefault="00534860" w:rsidP="0037086E">
      <w:pPr>
        <w:spacing w:before="0" w:after="160" w:line="259" w:lineRule="auto"/>
        <w:ind w:firstLine="0"/>
        <w:jc w:val="left"/>
        <w:rPr>
          <w:rFonts w:ascii="Times New Roman" w:hAnsi="Times New Roman" w:cs="Times New Roman"/>
          <w:sz w:val="22"/>
          <w:szCs w:val="22"/>
        </w:rPr>
      </w:pPr>
    </w:p>
    <w:p w:rsidR="0037086E" w:rsidRPr="0037086E" w:rsidRDefault="00534860" w:rsidP="0037086E">
      <w:pPr>
        <w:spacing w:before="0" w:after="160" w:line="259" w:lineRule="auto"/>
        <w:ind w:firstLine="0"/>
        <w:jc w:val="left"/>
        <w:rPr>
          <w:rFonts w:ascii="Times New Roman" w:hAnsi="Times New Roman" w:cs="Times New Roman"/>
          <w:sz w:val="22"/>
          <w:szCs w:val="22"/>
        </w:rPr>
      </w:pPr>
      <w:r>
        <w:rPr>
          <w:rFonts w:ascii="Times New Roman" w:hAnsi="Times New Roman" w:cs="Times New Roman"/>
          <w:sz w:val="22"/>
          <w:szCs w:val="22"/>
        </w:rPr>
        <w:t>V tabulce je uveden přehled rozdělení finančních prostředků me</w:t>
      </w:r>
      <w:r w:rsidR="00320805">
        <w:rPr>
          <w:rFonts w:ascii="Times New Roman" w:hAnsi="Times New Roman" w:cs="Times New Roman"/>
          <w:sz w:val="22"/>
          <w:szCs w:val="22"/>
        </w:rPr>
        <w:t xml:space="preserve">zi opatření programového rámce IROP v jednotlivých letech. </w:t>
      </w:r>
      <w:r>
        <w:rPr>
          <w:rFonts w:ascii="Times New Roman" w:hAnsi="Times New Roman" w:cs="Times New Roman"/>
          <w:sz w:val="22"/>
          <w:szCs w:val="22"/>
        </w:rPr>
        <w:t>Rozdělení finančních prostředků bylo projednáno na schůzi Představenstva MAS SKCh, z.s.</w:t>
      </w:r>
    </w:p>
    <w:p w:rsidR="0037086E" w:rsidRDefault="0037086E" w:rsidP="0037086E">
      <w:pPr>
        <w:spacing w:before="0" w:after="160" w:line="259" w:lineRule="auto"/>
        <w:ind w:firstLine="0"/>
        <w:jc w:val="left"/>
        <w:rPr>
          <w:rFonts w:ascii="Times New Roman" w:hAnsi="Times New Roman" w:cs="Times New Roman"/>
          <w:b/>
          <w:sz w:val="28"/>
          <w:szCs w:val="28"/>
        </w:rPr>
      </w:pPr>
    </w:p>
    <w:tbl>
      <w:tblPr>
        <w:tblpPr w:leftFromText="141" w:rightFromText="141" w:vertAnchor="text" w:horzAnchor="margin" w:tblpYSpec="inside"/>
        <w:tblW w:w="13820" w:type="dxa"/>
        <w:tblLayout w:type="fixed"/>
        <w:tblCellMar>
          <w:left w:w="70" w:type="dxa"/>
          <w:right w:w="70" w:type="dxa"/>
        </w:tblCellMar>
        <w:tblLook w:val="04A0" w:firstRow="1" w:lastRow="0" w:firstColumn="1" w:lastColumn="0" w:noHBand="0" w:noVBand="1"/>
      </w:tblPr>
      <w:tblGrid>
        <w:gridCol w:w="3260"/>
        <w:gridCol w:w="1080"/>
        <w:gridCol w:w="1024"/>
        <w:gridCol w:w="1024"/>
        <w:gridCol w:w="1025"/>
        <w:gridCol w:w="1024"/>
        <w:gridCol w:w="1025"/>
        <w:gridCol w:w="1024"/>
        <w:gridCol w:w="1025"/>
        <w:gridCol w:w="1024"/>
        <w:gridCol w:w="9"/>
        <w:gridCol w:w="1276"/>
      </w:tblGrid>
      <w:tr w:rsidR="0037086E" w:rsidRPr="0037086E" w:rsidTr="00320805">
        <w:trPr>
          <w:trHeight w:val="300"/>
        </w:trPr>
        <w:tc>
          <w:tcPr>
            <w:tcW w:w="138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left"/>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Přehled předpokládaných alokací na opatření programového rámce IROP SC 4.1 na celé období (v tis. Kč)</w:t>
            </w:r>
          </w:p>
        </w:tc>
      </w:tr>
      <w:tr w:rsidR="0037086E" w:rsidRPr="0037086E" w:rsidTr="00320805">
        <w:trPr>
          <w:trHeight w:val="435"/>
        </w:trPr>
        <w:tc>
          <w:tcPr>
            <w:tcW w:w="3260" w:type="dxa"/>
            <w:tcBorders>
              <w:top w:val="nil"/>
              <w:left w:val="single" w:sz="4" w:space="0" w:color="auto"/>
              <w:bottom w:val="nil"/>
              <w:right w:val="single" w:sz="4" w:space="0" w:color="auto"/>
            </w:tcBorders>
            <w:shd w:val="clear" w:color="000000" w:fill="C2D69A"/>
            <w:noWrap/>
            <w:vAlign w:val="bottom"/>
            <w:hideMark/>
          </w:tcPr>
          <w:p w:rsidR="0037086E" w:rsidRPr="0037086E" w:rsidRDefault="0037086E" w:rsidP="0037086E">
            <w:pPr>
              <w:spacing w:before="0" w:after="0" w:line="240" w:lineRule="auto"/>
              <w:ind w:firstLine="0"/>
              <w:jc w:val="left"/>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Opatření PR</w:t>
            </w:r>
          </w:p>
        </w:tc>
        <w:tc>
          <w:tcPr>
            <w:tcW w:w="1080" w:type="dxa"/>
            <w:tcBorders>
              <w:top w:val="nil"/>
              <w:left w:val="nil"/>
              <w:bottom w:val="single" w:sz="8" w:space="0" w:color="auto"/>
              <w:right w:val="single" w:sz="8" w:space="0" w:color="auto"/>
            </w:tcBorders>
            <w:shd w:val="clear" w:color="000000" w:fill="C2D69A"/>
            <w:noWrap/>
            <w:vAlign w:val="bottom"/>
            <w:hideMark/>
          </w:tcPr>
          <w:p w:rsidR="0037086E" w:rsidRPr="0037086E" w:rsidRDefault="0037086E" w:rsidP="0037086E">
            <w:pPr>
              <w:spacing w:before="0" w:after="0" w:line="240" w:lineRule="auto"/>
              <w:ind w:firstLine="0"/>
              <w:jc w:val="center"/>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SC IROP</w:t>
            </w:r>
          </w:p>
        </w:tc>
        <w:tc>
          <w:tcPr>
            <w:tcW w:w="1024" w:type="dxa"/>
            <w:tcBorders>
              <w:top w:val="nil"/>
              <w:left w:val="single" w:sz="4" w:space="0" w:color="auto"/>
              <w:bottom w:val="single" w:sz="8" w:space="0" w:color="auto"/>
              <w:right w:val="single" w:sz="4" w:space="0" w:color="auto"/>
            </w:tcBorders>
            <w:shd w:val="clear" w:color="000000" w:fill="C2D69A"/>
            <w:noWrap/>
            <w:vAlign w:val="bottom"/>
            <w:hideMark/>
          </w:tcPr>
          <w:p w:rsidR="0037086E" w:rsidRPr="0037086E" w:rsidRDefault="0037086E" w:rsidP="0037086E">
            <w:pPr>
              <w:spacing w:before="0" w:after="0" w:line="240" w:lineRule="auto"/>
              <w:ind w:firstLine="0"/>
              <w:jc w:val="center"/>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2016</w:t>
            </w:r>
          </w:p>
        </w:tc>
        <w:tc>
          <w:tcPr>
            <w:tcW w:w="1024" w:type="dxa"/>
            <w:tcBorders>
              <w:top w:val="nil"/>
              <w:left w:val="nil"/>
              <w:bottom w:val="nil"/>
              <w:right w:val="single" w:sz="4" w:space="0" w:color="auto"/>
            </w:tcBorders>
            <w:shd w:val="clear" w:color="000000" w:fill="C2D69A"/>
            <w:noWrap/>
            <w:vAlign w:val="bottom"/>
            <w:hideMark/>
          </w:tcPr>
          <w:p w:rsidR="0037086E" w:rsidRPr="0037086E" w:rsidRDefault="0037086E" w:rsidP="0037086E">
            <w:pPr>
              <w:spacing w:before="0" w:after="0" w:line="240" w:lineRule="auto"/>
              <w:ind w:firstLine="0"/>
              <w:jc w:val="center"/>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2017</w:t>
            </w:r>
          </w:p>
        </w:tc>
        <w:tc>
          <w:tcPr>
            <w:tcW w:w="1025" w:type="dxa"/>
            <w:tcBorders>
              <w:top w:val="nil"/>
              <w:left w:val="nil"/>
              <w:bottom w:val="nil"/>
              <w:right w:val="single" w:sz="4" w:space="0" w:color="auto"/>
            </w:tcBorders>
            <w:shd w:val="clear" w:color="000000" w:fill="C2D69A"/>
            <w:noWrap/>
            <w:vAlign w:val="bottom"/>
            <w:hideMark/>
          </w:tcPr>
          <w:p w:rsidR="0037086E" w:rsidRPr="0037086E" w:rsidRDefault="0037086E" w:rsidP="0037086E">
            <w:pPr>
              <w:spacing w:before="0" w:after="0" w:line="240" w:lineRule="auto"/>
              <w:ind w:firstLine="0"/>
              <w:jc w:val="center"/>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2018</w:t>
            </w:r>
          </w:p>
        </w:tc>
        <w:tc>
          <w:tcPr>
            <w:tcW w:w="1024" w:type="dxa"/>
            <w:tcBorders>
              <w:top w:val="nil"/>
              <w:left w:val="nil"/>
              <w:bottom w:val="single" w:sz="8" w:space="0" w:color="auto"/>
              <w:right w:val="single" w:sz="4" w:space="0" w:color="auto"/>
            </w:tcBorders>
            <w:shd w:val="clear" w:color="000000" w:fill="C2D69A"/>
            <w:noWrap/>
            <w:vAlign w:val="bottom"/>
            <w:hideMark/>
          </w:tcPr>
          <w:p w:rsidR="0037086E" w:rsidRPr="0037086E" w:rsidRDefault="0037086E" w:rsidP="0037086E">
            <w:pPr>
              <w:spacing w:before="0" w:after="0" w:line="240" w:lineRule="auto"/>
              <w:ind w:firstLine="0"/>
              <w:jc w:val="center"/>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2019</w:t>
            </w:r>
          </w:p>
        </w:tc>
        <w:tc>
          <w:tcPr>
            <w:tcW w:w="1025" w:type="dxa"/>
            <w:tcBorders>
              <w:top w:val="nil"/>
              <w:left w:val="nil"/>
              <w:bottom w:val="single" w:sz="8" w:space="0" w:color="auto"/>
              <w:right w:val="single" w:sz="4" w:space="0" w:color="auto"/>
            </w:tcBorders>
            <w:shd w:val="clear" w:color="000000" w:fill="C2D69A"/>
            <w:noWrap/>
            <w:vAlign w:val="bottom"/>
            <w:hideMark/>
          </w:tcPr>
          <w:p w:rsidR="0037086E" w:rsidRPr="0037086E" w:rsidRDefault="0037086E" w:rsidP="0037086E">
            <w:pPr>
              <w:spacing w:before="0" w:after="0" w:line="240" w:lineRule="auto"/>
              <w:ind w:firstLine="0"/>
              <w:jc w:val="center"/>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2020</w:t>
            </w:r>
          </w:p>
        </w:tc>
        <w:tc>
          <w:tcPr>
            <w:tcW w:w="1024" w:type="dxa"/>
            <w:tcBorders>
              <w:top w:val="nil"/>
              <w:left w:val="nil"/>
              <w:bottom w:val="nil"/>
              <w:right w:val="single" w:sz="4" w:space="0" w:color="auto"/>
            </w:tcBorders>
            <w:shd w:val="clear" w:color="000000" w:fill="C2D69A"/>
            <w:noWrap/>
            <w:vAlign w:val="bottom"/>
            <w:hideMark/>
          </w:tcPr>
          <w:p w:rsidR="0037086E" w:rsidRPr="0037086E" w:rsidRDefault="0037086E" w:rsidP="0037086E">
            <w:pPr>
              <w:spacing w:before="0" w:after="0" w:line="240" w:lineRule="auto"/>
              <w:ind w:firstLine="0"/>
              <w:jc w:val="center"/>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2021</w:t>
            </w:r>
          </w:p>
        </w:tc>
        <w:tc>
          <w:tcPr>
            <w:tcW w:w="1025" w:type="dxa"/>
            <w:tcBorders>
              <w:top w:val="nil"/>
              <w:left w:val="nil"/>
              <w:bottom w:val="single" w:sz="8" w:space="0" w:color="auto"/>
              <w:right w:val="single" w:sz="4" w:space="0" w:color="auto"/>
            </w:tcBorders>
            <w:shd w:val="clear" w:color="000000" w:fill="C2D69A"/>
            <w:noWrap/>
            <w:vAlign w:val="bottom"/>
            <w:hideMark/>
          </w:tcPr>
          <w:p w:rsidR="0037086E" w:rsidRPr="0037086E" w:rsidRDefault="0037086E" w:rsidP="0037086E">
            <w:pPr>
              <w:spacing w:before="0" w:after="0" w:line="240" w:lineRule="auto"/>
              <w:ind w:firstLine="0"/>
              <w:jc w:val="center"/>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2022</w:t>
            </w:r>
          </w:p>
        </w:tc>
        <w:tc>
          <w:tcPr>
            <w:tcW w:w="1024" w:type="dxa"/>
            <w:tcBorders>
              <w:top w:val="nil"/>
              <w:left w:val="nil"/>
              <w:bottom w:val="single" w:sz="8" w:space="0" w:color="auto"/>
              <w:right w:val="nil"/>
            </w:tcBorders>
            <w:shd w:val="clear" w:color="000000" w:fill="C2D69A"/>
            <w:noWrap/>
            <w:vAlign w:val="bottom"/>
            <w:hideMark/>
          </w:tcPr>
          <w:p w:rsidR="0037086E" w:rsidRPr="0037086E" w:rsidRDefault="0037086E" w:rsidP="0037086E">
            <w:pPr>
              <w:spacing w:before="0" w:after="0" w:line="240" w:lineRule="auto"/>
              <w:ind w:firstLine="0"/>
              <w:jc w:val="center"/>
              <w:rPr>
                <w:rFonts w:ascii="Calibri" w:eastAsia="Times New Roman" w:hAnsi="Calibri" w:cs="Times New Roman"/>
                <w:b/>
                <w:bCs/>
                <w:lang w:eastAsia="cs-CZ"/>
              </w:rPr>
            </w:pPr>
            <w:r w:rsidRPr="0037086E">
              <w:rPr>
                <w:rFonts w:ascii="Calibri" w:eastAsia="Times New Roman" w:hAnsi="Calibri" w:cs="Times New Roman"/>
                <w:b/>
                <w:bCs/>
                <w:sz w:val="22"/>
                <w:szCs w:val="22"/>
                <w:lang w:eastAsia="cs-CZ"/>
              </w:rPr>
              <w:t>2023</w:t>
            </w:r>
          </w:p>
        </w:tc>
        <w:tc>
          <w:tcPr>
            <w:tcW w:w="1285" w:type="dxa"/>
            <w:gridSpan w:val="2"/>
            <w:tcBorders>
              <w:top w:val="nil"/>
              <w:left w:val="single" w:sz="8" w:space="0" w:color="auto"/>
              <w:bottom w:val="single" w:sz="8" w:space="0" w:color="auto"/>
              <w:right w:val="single" w:sz="4" w:space="0" w:color="auto"/>
            </w:tcBorders>
            <w:shd w:val="clear" w:color="000000" w:fill="C2D69A"/>
            <w:noWrap/>
            <w:vAlign w:val="bottom"/>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Celkem</w:t>
            </w:r>
          </w:p>
        </w:tc>
      </w:tr>
      <w:tr w:rsidR="0037086E" w:rsidRPr="0037086E" w:rsidTr="00320805">
        <w:trPr>
          <w:trHeight w:val="810"/>
        </w:trPr>
        <w:tc>
          <w:tcPr>
            <w:tcW w:w="3260" w:type="dxa"/>
            <w:tcBorders>
              <w:top w:val="single" w:sz="8" w:space="0" w:color="auto"/>
              <w:left w:val="single" w:sz="4" w:space="0" w:color="auto"/>
              <w:bottom w:val="single" w:sz="4" w:space="0" w:color="auto"/>
              <w:right w:val="single" w:sz="4" w:space="0" w:color="auto"/>
            </w:tcBorders>
            <w:shd w:val="clear" w:color="000000" w:fill="EAF1DD"/>
            <w:vAlign w:val="bottom"/>
            <w:hideMark/>
          </w:tcPr>
          <w:p w:rsidR="0037086E" w:rsidRPr="0037086E" w:rsidRDefault="0037086E" w:rsidP="0037086E">
            <w:pPr>
              <w:spacing w:before="0" w:after="0" w:line="240" w:lineRule="auto"/>
              <w:ind w:firstLine="0"/>
              <w:jc w:val="left"/>
              <w:rPr>
                <w:rFonts w:ascii="Arial" w:eastAsia="Times New Roman" w:hAnsi="Arial" w:cs="Arial"/>
                <w:b/>
                <w:bCs/>
                <w:sz w:val="20"/>
                <w:szCs w:val="20"/>
                <w:lang w:eastAsia="cs-CZ"/>
              </w:rPr>
            </w:pPr>
            <w:r w:rsidRPr="0037086E">
              <w:rPr>
                <w:rFonts w:ascii="Arial" w:eastAsia="Times New Roman" w:hAnsi="Arial" w:cs="Arial"/>
                <w:b/>
                <w:bCs/>
                <w:sz w:val="20"/>
                <w:szCs w:val="20"/>
                <w:lang w:eastAsia="cs-CZ"/>
              </w:rPr>
              <w:t>Bezpečnost, odolnost a připravenost regionu - podmínka rozvoje</w:t>
            </w:r>
          </w:p>
        </w:tc>
        <w:tc>
          <w:tcPr>
            <w:tcW w:w="1080" w:type="dxa"/>
            <w:tcBorders>
              <w:top w:val="nil"/>
              <w:left w:val="nil"/>
              <w:bottom w:val="single" w:sz="4" w:space="0" w:color="auto"/>
              <w:right w:val="nil"/>
            </w:tcBorders>
            <w:shd w:val="clear" w:color="000000" w:fill="EAF1DD"/>
            <w:noWrap/>
            <w:vAlign w:val="bottom"/>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1.3</w:t>
            </w:r>
          </w:p>
        </w:tc>
        <w:tc>
          <w:tcPr>
            <w:tcW w:w="1024" w:type="dxa"/>
            <w:tcBorders>
              <w:top w:val="nil"/>
              <w:left w:val="single" w:sz="8" w:space="0" w:color="auto"/>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single" w:sz="8" w:space="0" w:color="auto"/>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4 000,00</w:t>
            </w:r>
          </w:p>
        </w:tc>
        <w:tc>
          <w:tcPr>
            <w:tcW w:w="1025" w:type="dxa"/>
            <w:tcBorders>
              <w:top w:val="single" w:sz="8" w:space="0" w:color="auto"/>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3 500,00</w:t>
            </w:r>
          </w:p>
        </w:tc>
        <w:tc>
          <w:tcPr>
            <w:tcW w:w="1024"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5" w:type="dxa"/>
            <w:tcBorders>
              <w:top w:val="nil"/>
              <w:left w:val="nil"/>
              <w:bottom w:val="single" w:sz="4" w:space="0" w:color="auto"/>
              <w:right w:val="nil"/>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5"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single" w:sz="4" w:space="0" w:color="auto"/>
              <w:right w:val="nil"/>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285" w:type="dxa"/>
            <w:gridSpan w:val="2"/>
            <w:tcBorders>
              <w:top w:val="nil"/>
              <w:left w:val="single" w:sz="8" w:space="0" w:color="auto"/>
              <w:bottom w:val="single" w:sz="4" w:space="0" w:color="auto"/>
              <w:right w:val="single" w:sz="4" w:space="0" w:color="auto"/>
            </w:tcBorders>
            <w:shd w:val="clear" w:color="000000" w:fill="D7E4BC"/>
            <w:noWrap/>
            <w:vAlign w:val="bottom"/>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7 500,00</w:t>
            </w:r>
          </w:p>
        </w:tc>
      </w:tr>
      <w:tr w:rsidR="0037086E" w:rsidRPr="0037086E" w:rsidTr="00320805">
        <w:trPr>
          <w:trHeight w:val="525"/>
        </w:trPr>
        <w:tc>
          <w:tcPr>
            <w:tcW w:w="3260" w:type="dxa"/>
            <w:tcBorders>
              <w:top w:val="nil"/>
              <w:left w:val="single" w:sz="4" w:space="0" w:color="auto"/>
              <w:bottom w:val="single" w:sz="4" w:space="0" w:color="auto"/>
              <w:right w:val="single" w:sz="4" w:space="0" w:color="auto"/>
            </w:tcBorders>
            <w:shd w:val="clear" w:color="000000" w:fill="EAF1DD"/>
            <w:vAlign w:val="bottom"/>
            <w:hideMark/>
          </w:tcPr>
          <w:p w:rsidR="0037086E" w:rsidRPr="0037086E" w:rsidRDefault="0037086E" w:rsidP="0037086E">
            <w:pPr>
              <w:spacing w:before="0" w:after="0" w:line="240" w:lineRule="auto"/>
              <w:ind w:firstLine="0"/>
              <w:jc w:val="left"/>
              <w:rPr>
                <w:rFonts w:ascii="Arial" w:eastAsia="Times New Roman" w:hAnsi="Arial" w:cs="Arial"/>
                <w:b/>
                <w:bCs/>
                <w:sz w:val="20"/>
                <w:szCs w:val="20"/>
                <w:lang w:eastAsia="cs-CZ"/>
              </w:rPr>
            </w:pPr>
            <w:r w:rsidRPr="0037086E">
              <w:rPr>
                <w:rFonts w:ascii="Arial" w:eastAsia="Times New Roman" w:hAnsi="Arial" w:cs="Arial"/>
                <w:b/>
                <w:bCs/>
                <w:sz w:val="20"/>
                <w:szCs w:val="20"/>
                <w:lang w:eastAsia="cs-CZ"/>
              </w:rPr>
              <w:t>Sociální inkluze - cesta moderní komunity</w:t>
            </w:r>
          </w:p>
        </w:tc>
        <w:tc>
          <w:tcPr>
            <w:tcW w:w="1080" w:type="dxa"/>
            <w:tcBorders>
              <w:top w:val="nil"/>
              <w:left w:val="nil"/>
              <w:bottom w:val="single" w:sz="4" w:space="0" w:color="auto"/>
              <w:right w:val="nil"/>
            </w:tcBorders>
            <w:shd w:val="clear" w:color="000000" w:fill="EAF1DD"/>
            <w:noWrap/>
            <w:vAlign w:val="bottom"/>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2.1</w:t>
            </w:r>
          </w:p>
        </w:tc>
        <w:tc>
          <w:tcPr>
            <w:tcW w:w="1024" w:type="dxa"/>
            <w:tcBorders>
              <w:top w:val="nil"/>
              <w:left w:val="single" w:sz="8" w:space="0" w:color="auto"/>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4 000,00</w:t>
            </w:r>
          </w:p>
        </w:tc>
        <w:tc>
          <w:tcPr>
            <w:tcW w:w="1025"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4 500,00</w:t>
            </w:r>
          </w:p>
        </w:tc>
        <w:tc>
          <w:tcPr>
            <w:tcW w:w="1024"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1 000,00</w:t>
            </w:r>
          </w:p>
        </w:tc>
        <w:tc>
          <w:tcPr>
            <w:tcW w:w="1025"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5"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single" w:sz="4" w:space="0" w:color="auto"/>
              <w:right w:val="nil"/>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285" w:type="dxa"/>
            <w:gridSpan w:val="2"/>
            <w:tcBorders>
              <w:top w:val="nil"/>
              <w:left w:val="single" w:sz="8" w:space="0" w:color="auto"/>
              <w:bottom w:val="single" w:sz="4" w:space="0" w:color="auto"/>
              <w:right w:val="single" w:sz="4" w:space="0" w:color="auto"/>
            </w:tcBorders>
            <w:shd w:val="clear" w:color="000000" w:fill="D7E4BC"/>
            <w:noWrap/>
            <w:vAlign w:val="bottom"/>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9 500,00</w:t>
            </w:r>
          </w:p>
        </w:tc>
      </w:tr>
      <w:tr w:rsidR="0037086E" w:rsidRPr="0037086E" w:rsidTr="00320805">
        <w:trPr>
          <w:trHeight w:val="525"/>
        </w:trPr>
        <w:tc>
          <w:tcPr>
            <w:tcW w:w="3260" w:type="dxa"/>
            <w:tcBorders>
              <w:top w:val="nil"/>
              <w:left w:val="single" w:sz="4" w:space="0" w:color="auto"/>
              <w:bottom w:val="single" w:sz="4" w:space="0" w:color="auto"/>
              <w:right w:val="single" w:sz="4" w:space="0" w:color="auto"/>
            </w:tcBorders>
            <w:shd w:val="clear" w:color="000000" w:fill="EAF1DD"/>
            <w:vAlign w:val="bottom"/>
            <w:hideMark/>
          </w:tcPr>
          <w:p w:rsidR="0037086E" w:rsidRPr="0037086E" w:rsidRDefault="0037086E" w:rsidP="0037086E">
            <w:pPr>
              <w:spacing w:before="0" w:after="0" w:line="240" w:lineRule="auto"/>
              <w:ind w:firstLine="0"/>
              <w:jc w:val="left"/>
              <w:rPr>
                <w:rFonts w:ascii="Arial" w:eastAsia="Times New Roman" w:hAnsi="Arial" w:cs="Arial"/>
                <w:b/>
                <w:bCs/>
                <w:sz w:val="20"/>
                <w:szCs w:val="20"/>
                <w:lang w:eastAsia="cs-CZ"/>
              </w:rPr>
            </w:pPr>
            <w:r w:rsidRPr="0037086E">
              <w:rPr>
                <w:rFonts w:ascii="Arial" w:eastAsia="Times New Roman" w:hAnsi="Arial" w:cs="Arial"/>
                <w:b/>
                <w:bCs/>
                <w:sz w:val="20"/>
                <w:szCs w:val="20"/>
                <w:lang w:eastAsia="cs-CZ"/>
              </w:rPr>
              <w:t>Sociální podnikání - zisk nejsou jen peníze</w:t>
            </w:r>
          </w:p>
        </w:tc>
        <w:tc>
          <w:tcPr>
            <w:tcW w:w="1080" w:type="dxa"/>
            <w:tcBorders>
              <w:top w:val="nil"/>
              <w:left w:val="nil"/>
              <w:bottom w:val="single" w:sz="4" w:space="0" w:color="auto"/>
              <w:right w:val="nil"/>
            </w:tcBorders>
            <w:shd w:val="clear" w:color="000000" w:fill="EAF1DD"/>
            <w:noWrap/>
            <w:vAlign w:val="bottom"/>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2.2</w:t>
            </w:r>
          </w:p>
        </w:tc>
        <w:tc>
          <w:tcPr>
            <w:tcW w:w="1024" w:type="dxa"/>
            <w:tcBorders>
              <w:top w:val="nil"/>
              <w:left w:val="single" w:sz="8" w:space="0" w:color="auto"/>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5"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1 447,00</w:t>
            </w:r>
          </w:p>
        </w:tc>
        <w:tc>
          <w:tcPr>
            <w:tcW w:w="1025"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5" w:type="dxa"/>
            <w:tcBorders>
              <w:top w:val="nil"/>
              <w:left w:val="nil"/>
              <w:bottom w:val="single" w:sz="4"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single" w:sz="4" w:space="0" w:color="auto"/>
              <w:right w:val="nil"/>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285" w:type="dxa"/>
            <w:gridSpan w:val="2"/>
            <w:tcBorders>
              <w:top w:val="nil"/>
              <w:left w:val="single" w:sz="8" w:space="0" w:color="auto"/>
              <w:bottom w:val="single" w:sz="4" w:space="0" w:color="auto"/>
              <w:right w:val="single" w:sz="4" w:space="0" w:color="auto"/>
            </w:tcBorders>
            <w:shd w:val="clear" w:color="000000" w:fill="D7E4BC"/>
            <w:noWrap/>
            <w:vAlign w:val="bottom"/>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1 447,00</w:t>
            </w:r>
          </w:p>
        </w:tc>
      </w:tr>
      <w:tr w:rsidR="0037086E" w:rsidRPr="0037086E" w:rsidTr="00320805">
        <w:trPr>
          <w:trHeight w:val="540"/>
        </w:trPr>
        <w:tc>
          <w:tcPr>
            <w:tcW w:w="3260" w:type="dxa"/>
            <w:tcBorders>
              <w:top w:val="nil"/>
              <w:left w:val="single" w:sz="4" w:space="0" w:color="auto"/>
              <w:bottom w:val="nil"/>
              <w:right w:val="single" w:sz="4" w:space="0" w:color="auto"/>
            </w:tcBorders>
            <w:shd w:val="clear" w:color="000000" w:fill="EAF1DD"/>
            <w:vAlign w:val="bottom"/>
            <w:hideMark/>
          </w:tcPr>
          <w:p w:rsidR="0037086E" w:rsidRPr="0037086E" w:rsidRDefault="0037086E" w:rsidP="0037086E">
            <w:pPr>
              <w:spacing w:before="0" w:after="0" w:line="240" w:lineRule="auto"/>
              <w:ind w:firstLine="0"/>
              <w:jc w:val="left"/>
              <w:rPr>
                <w:rFonts w:ascii="Arial" w:eastAsia="Times New Roman" w:hAnsi="Arial" w:cs="Arial"/>
                <w:b/>
                <w:bCs/>
                <w:sz w:val="20"/>
                <w:szCs w:val="20"/>
                <w:lang w:eastAsia="cs-CZ"/>
              </w:rPr>
            </w:pPr>
            <w:r w:rsidRPr="0037086E">
              <w:rPr>
                <w:rFonts w:ascii="Arial" w:eastAsia="Times New Roman" w:hAnsi="Arial" w:cs="Arial"/>
                <w:b/>
                <w:bCs/>
                <w:sz w:val="20"/>
                <w:szCs w:val="20"/>
                <w:lang w:eastAsia="cs-CZ"/>
              </w:rPr>
              <w:t>Kvalitní vzdělávání - úspěšná budoucnost</w:t>
            </w:r>
          </w:p>
        </w:tc>
        <w:tc>
          <w:tcPr>
            <w:tcW w:w="1080" w:type="dxa"/>
            <w:tcBorders>
              <w:top w:val="nil"/>
              <w:left w:val="nil"/>
              <w:bottom w:val="nil"/>
              <w:right w:val="nil"/>
            </w:tcBorders>
            <w:shd w:val="clear" w:color="000000" w:fill="EAF1DD"/>
            <w:noWrap/>
            <w:vAlign w:val="bottom"/>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2.4</w:t>
            </w:r>
          </w:p>
        </w:tc>
        <w:tc>
          <w:tcPr>
            <w:tcW w:w="1024" w:type="dxa"/>
            <w:tcBorders>
              <w:top w:val="nil"/>
              <w:left w:val="single" w:sz="8" w:space="0" w:color="auto"/>
              <w:bottom w:val="single" w:sz="8" w:space="0" w:color="auto"/>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nil"/>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2 500,00</w:t>
            </w:r>
          </w:p>
        </w:tc>
        <w:tc>
          <w:tcPr>
            <w:tcW w:w="1025" w:type="dxa"/>
            <w:tcBorders>
              <w:top w:val="nil"/>
              <w:left w:val="nil"/>
              <w:bottom w:val="nil"/>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2 500,00</w:t>
            </w:r>
          </w:p>
        </w:tc>
        <w:tc>
          <w:tcPr>
            <w:tcW w:w="1024" w:type="dxa"/>
            <w:tcBorders>
              <w:top w:val="nil"/>
              <w:left w:val="nil"/>
              <w:bottom w:val="nil"/>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5" w:type="dxa"/>
            <w:tcBorders>
              <w:top w:val="nil"/>
              <w:left w:val="nil"/>
              <w:bottom w:val="nil"/>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2 500,00</w:t>
            </w:r>
          </w:p>
        </w:tc>
        <w:tc>
          <w:tcPr>
            <w:tcW w:w="1024" w:type="dxa"/>
            <w:tcBorders>
              <w:top w:val="nil"/>
              <w:left w:val="nil"/>
              <w:bottom w:val="nil"/>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2 500,00</w:t>
            </w:r>
          </w:p>
        </w:tc>
        <w:tc>
          <w:tcPr>
            <w:tcW w:w="1025" w:type="dxa"/>
            <w:tcBorders>
              <w:top w:val="nil"/>
              <w:left w:val="nil"/>
              <w:bottom w:val="nil"/>
              <w:right w:val="single" w:sz="4" w:space="0" w:color="auto"/>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024" w:type="dxa"/>
            <w:tcBorders>
              <w:top w:val="nil"/>
              <w:left w:val="nil"/>
              <w:bottom w:val="nil"/>
              <w:right w:val="nil"/>
            </w:tcBorders>
            <w:shd w:val="clear" w:color="auto" w:fill="auto"/>
            <w:noWrap/>
            <w:vAlign w:val="bottom"/>
            <w:hideMark/>
          </w:tcPr>
          <w:p w:rsidR="0037086E" w:rsidRPr="0037086E" w:rsidRDefault="0037086E" w:rsidP="0037086E">
            <w:pPr>
              <w:spacing w:before="0" w:after="0" w:line="240" w:lineRule="auto"/>
              <w:ind w:firstLine="0"/>
              <w:jc w:val="center"/>
              <w:rPr>
                <w:rFonts w:ascii="Arial" w:eastAsia="Times New Roman" w:hAnsi="Arial" w:cs="Arial"/>
                <w:color w:val="000000"/>
                <w:sz w:val="20"/>
                <w:szCs w:val="20"/>
                <w:lang w:eastAsia="cs-CZ"/>
              </w:rPr>
            </w:pPr>
            <w:r w:rsidRPr="0037086E">
              <w:rPr>
                <w:rFonts w:ascii="Arial" w:eastAsia="Times New Roman" w:hAnsi="Arial" w:cs="Arial"/>
                <w:color w:val="000000"/>
                <w:sz w:val="20"/>
                <w:szCs w:val="20"/>
                <w:lang w:eastAsia="cs-CZ"/>
              </w:rPr>
              <w:t>0,00</w:t>
            </w:r>
          </w:p>
        </w:tc>
        <w:tc>
          <w:tcPr>
            <w:tcW w:w="1285" w:type="dxa"/>
            <w:gridSpan w:val="2"/>
            <w:tcBorders>
              <w:top w:val="nil"/>
              <w:left w:val="single" w:sz="8" w:space="0" w:color="auto"/>
              <w:bottom w:val="nil"/>
              <w:right w:val="single" w:sz="4" w:space="0" w:color="auto"/>
            </w:tcBorders>
            <w:shd w:val="clear" w:color="000000" w:fill="D7E4BC"/>
            <w:noWrap/>
            <w:vAlign w:val="bottom"/>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10 000,00</w:t>
            </w:r>
          </w:p>
        </w:tc>
      </w:tr>
      <w:tr w:rsidR="0037086E" w:rsidRPr="0037086E" w:rsidTr="00320805">
        <w:trPr>
          <w:trHeight w:val="390"/>
        </w:trPr>
        <w:tc>
          <w:tcPr>
            <w:tcW w:w="12544" w:type="dxa"/>
            <w:gridSpan w:val="11"/>
            <w:tcBorders>
              <w:top w:val="single" w:sz="8" w:space="0" w:color="auto"/>
              <w:left w:val="single" w:sz="4" w:space="0" w:color="auto"/>
              <w:bottom w:val="single" w:sz="4" w:space="0" w:color="auto"/>
              <w:right w:val="single" w:sz="8" w:space="0" w:color="000000"/>
            </w:tcBorders>
            <w:shd w:val="clear" w:color="000000" w:fill="D7E4BC"/>
            <w:noWrap/>
            <w:vAlign w:val="center"/>
            <w:hideMark/>
          </w:tcPr>
          <w:p w:rsidR="0037086E" w:rsidRPr="0037086E" w:rsidRDefault="0037086E" w:rsidP="0037086E">
            <w:pPr>
              <w:spacing w:before="0" w:after="0" w:line="240" w:lineRule="auto"/>
              <w:ind w:firstLine="0"/>
              <w:jc w:val="left"/>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 xml:space="preserve">Celkem </w:t>
            </w:r>
          </w:p>
        </w:tc>
        <w:tc>
          <w:tcPr>
            <w:tcW w:w="1276" w:type="dxa"/>
            <w:tcBorders>
              <w:top w:val="single" w:sz="8" w:space="0" w:color="auto"/>
              <w:left w:val="nil"/>
              <w:bottom w:val="single" w:sz="4" w:space="0" w:color="auto"/>
              <w:right w:val="single" w:sz="4" w:space="0" w:color="auto"/>
            </w:tcBorders>
            <w:shd w:val="clear" w:color="000000" w:fill="D7E4BC"/>
            <w:noWrap/>
            <w:vAlign w:val="center"/>
            <w:hideMark/>
          </w:tcPr>
          <w:p w:rsidR="0037086E" w:rsidRPr="0037086E" w:rsidRDefault="0037086E" w:rsidP="0037086E">
            <w:pPr>
              <w:spacing w:before="0" w:after="0" w:line="240" w:lineRule="auto"/>
              <w:ind w:firstLine="0"/>
              <w:jc w:val="center"/>
              <w:rPr>
                <w:rFonts w:ascii="Arial" w:eastAsia="Times New Roman" w:hAnsi="Arial" w:cs="Arial"/>
                <w:b/>
                <w:bCs/>
                <w:color w:val="000000"/>
                <w:sz w:val="20"/>
                <w:szCs w:val="20"/>
                <w:lang w:eastAsia="cs-CZ"/>
              </w:rPr>
            </w:pPr>
            <w:r w:rsidRPr="0037086E">
              <w:rPr>
                <w:rFonts w:ascii="Arial" w:eastAsia="Times New Roman" w:hAnsi="Arial" w:cs="Arial"/>
                <w:b/>
                <w:bCs/>
                <w:color w:val="000000"/>
                <w:sz w:val="20"/>
                <w:szCs w:val="20"/>
                <w:lang w:eastAsia="cs-CZ"/>
              </w:rPr>
              <w:t>28 447,00</w:t>
            </w:r>
          </w:p>
        </w:tc>
      </w:tr>
    </w:tbl>
    <w:p w:rsidR="0037086E" w:rsidRPr="0037086E" w:rsidRDefault="0037086E" w:rsidP="0037086E">
      <w:pPr>
        <w:spacing w:before="0" w:after="160" w:line="259" w:lineRule="auto"/>
        <w:ind w:firstLine="0"/>
        <w:jc w:val="left"/>
        <w:rPr>
          <w:rFonts w:ascii="Times New Roman" w:hAnsi="Times New Roman" w:cs="Times New Roman"/>
          <w:b/>
          <w:sz w:val="28"/>
          <w:szCs w:val="28"/>
        </w:rPr>
        <w:sectPr w:rsidR="0037086E" w:rsidRPr="0037086E" w:rsidSect="0037086E">
          <w:pgSz w:w="16838" w:h="11906" w:orient="landscape"/>
          <w:pgMar w:top="1418" w:right="1418" w:bottom="1418" w:left="1418" w:header="624" w:footer="680" w:gutter="0"/>
          <w:cols w:space="708"/>
          <w:docGrid w:linePitch="360"/>
        </w:sectPr>
      </w:pPr>
    </w:p>
    <w:p w:rsidR="00320805" w:rsidRDefault="00320805">
      <w:pPr>
        <w:spacing w:before="0" w:after="160" w:line="259" w:lineRule="auto"/>
        <w:ind w:firstLine="0"/>
        <w:jc w:val="left"/>
        <w:rPr>
          <w:rFonts w:ascii="Times New Roman" w:hAnsi="Times New Roman" w:cs="Times New Roman"/>
          <w:b/>
          <w:sz w:val="28"/>
          <w:szCs w:val="28"/>
        </w:rPr>
      </w:pPr>
    </w:p>
    <w:sectPr w:rsidR="00320805" w:rsidSect="00A6323E">
      <w:pgSz w:w="11906" w:h="16838"/>
      <w:pgMar w:top="1417" w:right="1417" w:bottom="1417" w:left="1417"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40B" w:rsidRDefault="007B440B" w:rsidP="00A22347">
      <w:pPr>
        <w:spacing w:before="0" w:after="0" w:line="240" w:lineRule="auto"/>
      </w:pPr>
      <w:r>
        <w:separator/>
      </w:r>
    </w:p>
  </w:endnote>
  <w:endnote w:type="continuationSeparator" w:id="0">
    <w:p w:rsidR="007B440B" w:rsidRDefault="007B440B" w:rsidP="00A223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64924"/>
      <w:docPartObj>
        <w:docPartGallery w:val="Page Numbers (Bottom of Page)"/>
        <w:docPartUnique/>
      </w:docPartObj>
    </w:sdtPr>
    <w:sdtEndPr/>
    <w:sdtContent>
      <w:p w:rsidR="00B42DAF" w:rsidRDefault="007B440B">
        <w:pPr>
          <w:pStyle w:val="Zpat"/>
          <w:jc w:val="right"/>
        </w:pPr>
        <w:r>
          <w:fldChar w:fldCharType="begin"/>
        </w:r>
        <w:r>
          <w:instrText xml:space="preserve"> PAGE   \* MERGEFORMAT </w:instrText>
        </w:r>
        <w:r>
          <w:fldChar w:fldCharType="separate"/>
        </w:r>
        <w:r w:rsidR="00434872">
          <w:rPr>
            <w:noProof/>
          </w:rPr>
          <w:t>1</w:t>
        </w:r>
        <w:r>
          <w:rPr>
            <w:noProof/>
          </w:rPr>
          <w:fldChar w:fldCharType="end"/>
        </w:r>
      </w:p>
    </w:sdtContent>
  </w:sdt>
  <w:p w:rsidR="00B42DAF" w:rsidRDefault="00B42D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40B" w:rsidRDefault="007B440B" w:rsidP="00A22347">
      <w:pPr>
        <w:spacing w:before="0" w:after="0" w:line="240" w:lineRule="auto"/>
      </w:pPr>
      <w:r>
        <w:separator/>
      </w:r>
    </w:p>
  </w:footnote>
  <w:footnote w:type="continuationSeparator" w:id="0">
    <w:p w:rsidR="007B440B" w:rsidRDefault="007B440B" w:rsidP="00A2234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1E3"/>
    <w:multiLevelType w:val="hybridMultilevel"/>
    <w:tmpl w:val="A40E36B6"/>
    <w:lvl w:ilvl="0" w:tplc="BC28ED9C">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53AB2"/>
    <w:multiLevelType w:val="hybridMultilevel"/>
    <w:tmpl w:val="2F80A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935E9"/>
    <w:multiLevelType w:val="hybridMultilevel"/>
    <w:tmpl w:val="2F80A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3326A"/>
    <w:multiLevelType w:val="hybridMultilevel"/>
    <w:tmpl w:val="9006A0A4"/>
    <w:lvl w:ilvl="0" w:tplc="D3B8E6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F03154"/>
    <w:multiLevelType w:val="hybridMultilevel"/>
    <w:tmpl w:val="3238E2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BE6D22"/>
    <w:multiLevelType w:val="hybridMultilevel"/>
    <w:tmpl w:val="74C2BD3E"/>
    <w:lvl w:ilvl="0" w:tplc="9FB2142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F75608"/>
    <w:multiLevelType w:val="hybridMultilevel"/>
    <w:tmpl w:val="31E8FA5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0E41AF6"/>
    <w:multiLevelType w:val="hybridMultilevel"/>
    <w:tmpl w:val="F1968FC4"/>
    <w:lvl w:ilvl="0" w:tplc="D3B8E6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3E641A"/>
    <w:multiLevelType w:val="hybridMultilevel"/>
    <w:tmpl w:val="C57EF10C"/>
    <w:lvl w:ilvl="0" w:tplc="A4C6AED2">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6A69F8"/>
    <w:multiLevelType w:val="hybridMultilevel"/>
    <w:tmpl w:val="152E09D4"/>
    <w:lvl w:ilvl="0" w:tplc="D3B8E622">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5184B43"/>
    <w:multiLevelType w:val="hybridMultilevel"/>
    <w:tmpl w:val="1D302A8E"/>
    <w:lvl w:ilvl="0" w:tplc="D3B8E6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0E5401"/>
    <w:multiLevelType w:val="hybridMultilevel"/>
    <w:tmpl w:val="CF7C4046"/>
    <w:lvl w:ilvl="0" w:tplc="A4C6AED2">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99C0CBE"/>
    <w:multiLevelType w:val="hybridMultilevel"/>
    <w:tmpl w:val="EE409DD2"/>
    <w:lvl w:ilvl="0" w:tplc="D3B8E62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D32103A"/>
    <w:multiLevelType w:val="hybridMultilevel"/>
    <w:tmpl w:val="4FF4C706"/>
    <w:lvl w:ilvl="0" w:tplc="9EF21E64">
      <w:start w:val="3"/>
      <w:numFmt w:val="decimal"/>
      <w:lvlText w:val="%1)"/>
      <w:lvlJc w:val="left"/>
      <w:pPr>
        <w:ind w:left="360" w:hanging="360"/>
      </w:pPr>
      <w:rPr>
        <w:rFonts w:hint="default"/>
        <w:b w:val="0"/>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14" w15:restartNumberingAfterBreak="0">
    <w:nsid w:val="3113660A"/>
    <w:multiLevelType w:val="hybridMultilevel"/>
    <w:tmpl w:val="1CA69186"/>
    <w:lvl w:ilvl="0" w:tplc="4C98D6B6">
      <w:start w:val="1"/>
      <w:numFmt w:val="lowerLetter"/>
      <w:lvlText w:val="%1)"/>
      <w:lvlJc w:val="left"/>
      <w:pPr>
        <w:ind w:left="785" w:hanging="360"/>
      </w:pPr>
      <w:rPr>
        <w:b w:val="0"/>
        <w:i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3BE87368"/>
    <w:multiLevelType w:val="hybridMultilevel"/>
    <w:tmpl w:val="9236B4D8"/>
    <w:lvl w:ilvl="0" w:tplc="D3B8E6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1E6FBE"/>
    <w:multiLevelType w:val="hybridMultilevel"/>
    <w:tmpl w:val="258859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7787F01"/>
    <w:multiLevelType w:val="hybridMultilevel"/>
    <w:tmpl w:val="F2FC757C"/>
    <w:lvl w:ilvl="0" w:tplc="D3B8E622">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EC34E9A"/>
    <w:multiLevelType w:val="hybridMultilevel"/>
    <w:tmpl w:val="5256065C"/>
    <w:lvl w:ilvl="0" w:tplc="D3B8E6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AD7AA7"/>
    <w:multiLevelType w:val="hybridMultilevel"/>
    <w:tmpl w:val="4C223088"/>
    <w:lvl w:ilvl="0" w:tplc="D3B8E6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046BAC"/>
    <w:multiLevelType w:val="hybridMultilevel"/>
    <w:tmpl w:val="FF28325C"/>
    <w:lvl w:ilvl="0" w:tplc="04050011">
      <w:start w:val="1"/>
      <w:numFmt w:val="decimal"/>
      <w:lvlText w:val="%1)"/>
      <w:lvlJc w:val="left"/>
      <w:pPr>
        <w:ind w:left="360" w:hanging="360"/>
      </w:pPr>
    </w:lvl>
    <w:lvl w:ilvl="1" w:tplc="D3B8E622">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5A97F07"/>
    <w:multiLevelType w:val="hybridMultilevel"/>
    <w:tmpl w:val="09487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227A88"/>
    <w:multiLevelType w:val="hybridMultilevel"/>
    <w:tmpl w:val="E0768BB4"/>
    <w:lvl w:ilvl="0" w:tplc="14F689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1633EE4"/>
    <w:multiLevelType w:val="hybridMultilevel"/>
    <w:tmpl w:val="8834D1CC"/>
    <w:lvl w:ilvl="0" w:tplc="D3B8E62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76065DA"/>
    <w:multiLevelType w:val="hybridMultilevel"/>
    <w:tmpl w:val="B396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2"/>
  </w:num>
  <w:num w:numId="4">
    <w:abstractNumId w:val="1"/>
  </w:num>
  <w:num w:numId="5">
    <w:abstractNumId w:val="14"/>
  </w:num>
  <w:num w:numId="6">
    <w:abstractNumId w:val="22"/>
  </w:num>
  <w:num w:numId="7">
    <w:abstractNumId w:val="6"/>
  </w:num>
  <w:num w:numId="8">
    <w:abstractNumId w:val="20"/>
  </w:num>
  <w:num w:numId="9">
    <w:abstractNumId w:val="12"/>
  </w:num>
  <w:num w:numId="10">
    <w:abstractNumId w:val="23"/>
  </w:num>
  <w:num w:numId="11">
    <w:abstractNumId w:val="16"/>
  </w:num>
  <w:num w:numId="12">
    <w:abstractNumId w:val="5"/>
  </w:num>
  <w:num w:numId="13">
    <w:abstractNumId w:val="7"/>
  </w:num>
  <w:num w:numId="14">
    <w:abstractNumId w:val="18"/>
  </w:num>
  <w:num w:numId="15">
    <w:abstractNumId w:val="8"/>
  </w:num>
  <w:num w:numId="16">
    <w:abstractNumId w:val="15"/>
  </w:num>
  <w:num w:numId="17">
    <w:abstractNumId w:val="19"/>
  </w:num>
  <w:num w:numId="18">
    <w:abstractNumId w:val="11"/>
  </w:num>
  <w:num w:numId="19">
    <w:abstractNumId w:val="9"/>
  </w:num>
  <w:num w:numId="20">
    <w:abstractNumId w:val="13"/>
  </w:num>
  <w:num w:numId="21">
    <w:abstractNumId w:val="0"/>
  </w:num>
  <w:num w:numId="22">
    <w:abstractNumId w:val="17"/>
  </w:num>
  <w:num w:numId="23">
    <w:abstractNumId w:val="24"/>
  </w:num>
  <w:num w:numId="24">
    <w:abstractNumId w:val="10"/>
  </w:num>
  <w:num w:numId="2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80"/>
    <w:rsid w:val="00012486"/>
    <w:rsid w:val="0002136C"/>
    <w:rsid w:val="00037373"/>
    <w:rsid w:val="00037911"/>
    <w:rsid w:val="00043B30"/>
    <w:rsid w:val="00046F10"/>
    <w:rsid w:val="000774CE"/>
    <w:rsid w:val="00080DFE"/>
    <w:rsid w:val="00097CE6"/>
    <w:rsid w:val="000B38DB"/>
    <w:rsid w:val="000D1B91"/>
    <w:rsid w:val="000F02E0"/>
    <w:rsid w:val="000F0776"/>
    <w:rsid w:val="001027C8"/>
    <w:rsid w:val="00102E03"/>
    <w:rsid w:val="00110805"/>
    <w:rsid w:val="001247AD"/>
    <w:rsid w:val="00131FFB"/>
    <w:rsid w:val="00173620"/>
    <w:rsid w:val="00185156"/>
    <w:rsid w:val="001A366F"/>
    <w:rsid w:val="001A73CE"/>
    <w:rsid w:val="001B3275"/>
    <w:rsid w:val="001B3A0A"/>
    <w:rsid w:val="001C03D1"/>
    <w:rsid w:val="001C707D"/>
    <w:rsid w:val="001C715B"/>
    <w:rsid w:val="002020AB"/>
    <w:rsid w:val="00241F63"/>
    <w:rsid w:val="002420DC"/>
    <w:rsid w:val="00265985"/>
    <w:rsid w:val="00280C57"/>
    <w:rsid w:val="00286B2E"/>
    <w:rsid w:val="002C0369"/>
    <w:rsid w:val="002E4728"/>
    <w:rsid w:val="00300F67"/>
    <w:rsid w:val="0030362D"/>
    <w:rsid w:val="0031596A"/>
    <w:rsid w:val="00320805"/>
    <w:rsid w:val="00370023"/>
    <w:rsid w:val="0037086E"/>
    <w:rsid w:val="00374AB4"/>
    <w:rsid w:val="003762AA"/>
    <w:rsid w:val="00382A1A"/>
    <w:rsid w:val="0038645B"/>
    <w:rsid w:val="00390A61"/>
    <w:rsid w:val="00392011"/>
    <w:rsid w:val="00392E16"/>
    <w:rsid w:val="0039631C"/>
    <w:rsid w:val="003B0026"/>
    <w:rsid w:val="003B501B"/>
    <w:rsid w:val="003D3FAC"/>
    <w:rsid w:val="003D5ED8"/>
    <w:rsid w:val="00412794"/>
    <w:rsid w:val="00434872"/>
    <w:rsid w:val="004364CA"/>
    <w:rsid w:val="00440ED8"/>
    <w:rsid w:val="00441B99"/>
    <w:rsid w:val="004440E7"/>
    <w:rsid w:val="00451DF6"/>
    <w:rsid w:val="00453A0A"/>
    <w:rsid w:val="004610F0"/>
    <w:rsid w:val="00470CF4"/>
    <w:rsid w:val="00474BCF"/>
    <w:rsid w:val="00476349"/>
    <w:rsid w:val="00486809"/>
    <w:rsid w:val="00487CDA"/>
    <w:rsid w:val="00491551"/>
    <w:rsid w:val="00491615"/>
    <w:rsid w:val="00492DF8"/>
    <w:rsid w:val="004939AC"/>
    <w:rsid w:val="004A4088"/>
    <w:rsid w:val="004A5D93"/>
    <w:rsid w:val="004B4912"/>
    <w:rsid w:val="004B68BB"/>
    <w:rsid w:val="004C22BE"/>
    <w:rsid w:val="004C50AF"/>
    <w:rsid w:val="004C766A"/>
    <w:rsid w:val="004D5AA1"/>
    <w:rsid w:val="004F65F8"/>
    <w:rsid w:val="004F7CBE"/>
    <w:rsid w:val="00502E6D"/>
    <w:rsid w:val="00505BAB"/>
    <w:rsid w:val="00507F90"/>
    <w:rsid w:val="00534860"/>
    <w:rsid w:val="005379E4"/>
    <w:rsid w:val="0054206C"/>
    <w:rsid w:val="00552A24"/>
    <w:rsid w:val="0055780C"/>
    <w:rsid w:val="005606C4"/>
    <w:rsid w:val="0059046A"/>
    <w:rsid w:val="005A3873"/>
    <w:rsid w:val="005C3989"/>
    <w:rsid w:val="005D0023"/>
    <w:rsid w:val="005F3D98"/>
    <w:rsid w:val="005F4D8D"/>
    <w:rsid w:val="005F68CF"/>
    <w:rsid w:val="0063150F"/>
    <w:rsid w:val="00634B20"/>
    <w:rsid w:val="00642569"/>
    <w:rsid w:val="00652AC1"/>
    <w:rsid w:val="006534D4"/>
    <w:rsid w:val="00671E18"/>
    <w:rsid w:val="0069040D"/>
    <w:rsid w:val="00691399"/>
    <w:rsid w:val="006914D4"/>
    <w:rsid w:val="006A30FF"/>
    <w:rsid w:val="006C16C0"/>
    <w:rsid w:val="006C42D0"/>
    <w:rsid w:val="006D7200"/>
    <w:rsid w:val="006D7D3C"/>
    <w:rsid w:val="007068D8"/>
    <w:rsid w:val="00710A9B"/>
    <w:rsid w:val="00747CBA"/>
    <w:rsid w:val="00755AA3"/>
    <w:rsid w:val="00760166"/>
    <w:rsid w:val="00764769"/>
    <w:rsid w:val="00772958"/>
    <w:rsid w:val="00776939"/>
    <w:rsid w:val="00791B71"/>
    <w:rsid w:val="007A507F"/>
    <w:rsid w:val="007A5FCB"/>
    <w:rsid w:val="007B1D68"/>
    <w:rsid w:val="007B440B"/>
    <w:rsid w:val="007C616A"/>
    <w:rsid w:val="007D3163"/>
    <w:rsid w:val="007D4554"/>
    <w:rsid w:val="007D490B"/>
    <w:rsid w:val="007E15BD"/>
    <w:rsid w:val="007E47BD"/>
    <w:rsid w:val="007F0B51"/>
    <w:rsid w:val="007F3CE0"/>
    <w:rsid w:val="0080701A"/>
    <w:rsid w:val="008151B2"/>
    <w:rsid w:val="00831124"/>
    <w:rsid w:val="008419B7"/>
    <w:rsid w:val="00855D2F"/>
    <w:rsid w:val="0085782E"/>
    <w:rsid w:val="00857BEA"/>
    <w:rsid w:val="00872CCE"/>
    <w:rsid w:val="0087358D"/>
    <w:rsid w:val="008748E9"/>
    <w:rsid w:val="00895827"/>
    <w:rsid w:val="008A5578"/>
    <w:rsid w:val="008A68B4"/>
    <w:rsid w:val="008D134C"/>
    <w:rsid w:val="008D2096"/>
    <w:rsid w:val="008D78D4"/>
    <w:rsid w:val="008D799B"/>
    <w:rsid w:val="008E17BE"/>
    <w:rsid w:val="008E4093"/>
    <w:rsid w:val="008F2210"/>
    <w:rsid w:val="00904D1F"/>
    <w:rsid w:val="00915F22"/>
    <w:rsid w:val="0093176E"/>
    <w:rsid w:val="00931A41"/>
    <w:rsid w:val="009411F0"/>
    <w:rsid w:val="0094353E"/>
    <w:rsid w:val="009563EE"/>
    <w:rsid w:val="009602B2"/>
    <w:rsid w:val="0097233D"/>
    <w:rsid w:val="009838B5"/>
    <w:rsid w:val="009848D9"/>
    <w:rsid w:val="009C1513"/>
    <w:rsid w:val="009C74C2"/>
    <w:rsid w:val="009D2680"/>
    <w:rsid w:val="009E4E2D"/>
    <w:rsid w:val="009F701F"/>
    <w:rsid w:val="00A22347"/>
    <w:rsid w:val="00A36A10"/>
    <w:rsid w:val="00A4259A"/>
    <w:rsid w:val="00A560CE"/>
    <w:rsid w:val="00A57520"/>
    <w:rsid w:val="00A62258"/>
    <w:rsid w:val="00A6323E"/>
    <w:rsid w:val="00A703CA"/>
    <w:rsid w:val="00A733B7"/>
    <w:rsid w:val="00A77EC2"/>
    <w:rsid w:val="00A9708F"/>
    <w:rsid w:val="00AC7148"/>
    <w:rsid w:val="00AE2A49"/>
    <w:rsid w:val="00AF3123"/>
    <w:rsid w:val="00B0026B"/>
    <w:rsid w:val="00B01F88"/>
    <w:rsid w:val="00B02459"/>
    <w:rsid w:val="00B15B7B"/>
    <w:rsid w:val="00B24C75"/>
    <w:rsid w:val="00B42DAF"/>
    <w:rsid w:val="00B43166"/>
    <w:rsid w:val="00B529A4"/>
    <w:rsid w:val="00B54725"/>
    <w:rsid w:val="00B64828"/>
    <w:rsid w:val="00B65C7C"/>
    <w:rsid w:val="00B70E1D"/>
    <w:rsid w:val="00B75264"/>
    <w:rsid w:val="00BA0180"/>
    <w:rsid w:val="00BB5DFC"/>
    <w:rsid w:val="00BE6DA2"/>
    <w:rsid w:val="00BF0477"/>
    <w:rsid w:val="00C2227F"/>
    <w:rsid w:val="00C35C71"/>
    <w:rsid w:val="00C35CCE"/>
    <w:rsid w:val="00C377BF"/>
    <w:rsid w:val="00C37ADE"/>
    <w:rsid w:val="00C45274"/>
    <w:rsid w:val="00C47DB5"/>
    <w:rsid w:val="00C629D4"/>
    <w:rsid w:val="00C84358"/>
    <w:rsid w:val="00CA0FFA"/>
    <w:rsid w:val="00CA17E7"/>
    <w:rsid w:val="00CB259C"/>
    <w:rsid w:val="00CB3744"/>
    <w:rsid w:val="00CB6849"/>
    <w:rsid w:val="00CF3F22"/>
    <w:rsid w:val="00CF6B49"/>
    <w:rsid w:val="00D03677"/>
    <w:rsid w:val="00D06261"/>
    <w:rsid w:val="00D067D6"/>
    <w:rsid w:val="00D22663"/>
    <w:rsid w:val="00D3719E"/>
    <w:rsid w:val="00D44AB9"/>
    <w:rsid w:val="00D52331"/>
    <w:rsid w:val="00D72451"/>
    <w:rsid w:val="00D7639B"/>
    <w:rsid w:val="00D96620"/>
    <w:rsid w:val="00D97D72"/>
    <w:rsid w:val="00DA018B"/>
    <w:rsid w:val="00DC08BB"/>
    <w:rsid w:val="00DC55B8"/>
    <w:rsid w:val="00DD5E22"/>
    <w:rsid w:val="00DF742C"/>
    <w:rsid w:val="00E02447"/>
    <w:rsid w:val="00E16974"/>
    <w:rsid w:val="00E22E8C"/>
    <w:rsid w:val="00E2620E"/>
    <w:rsid w:val="00E62C0C"/>
    <w:rsid w:val="00E653E0"/>
    <w:rsid w:val="00E73ADC"/>
    <w:rsid w:val="00E91EC3"/>
    <w:rsid w:val="00E97C05"/>
    <w:rsid w:val="00EA392E"/>
    <w:rsid w:val="00EB2AE8"/>
    <w:rsid w:val="00EB5805"/>
    <w:rsid w:val="00EB7CDB"/>
    <w:rsid w:val="00EF1EB8"/>
    <w:rsid w:val="00EF276F"/>
    <w:rsid w:val="00F02761"/>
    <w:rsid w:val="00F067C3"/>
    <w:rsid w:val="00F1025E"/>
    <w:rsid w:val="00F3554B"/>
    <w:rsid w:val="00F43103"/>
    <w:rsid w:val="00F45A98"/>
    <w:rsid w:val="00F516C1"/>
    <w:rsid w:val="00F532EA"/>
    <w:rsid w:val="00F60542"/>
    <w:rsid w:val="00F61053"/>
    <w:rsid w:val="00F71810"/>
    <w:rsid w:val="00F80833"/>
    <w:rsid w:val="00F82459"/>
    <w:rsid w:val="00FC064D"/>
    <w:rsid w:val="00FD04DB"/>
    <w:rsid w:val="00FD3B5D"/>
    <w:rsid w:val="00FE3194"/>
    <w:rsid w:val="00FF6A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47C56-A11D-4420-8E3E-21D5BF6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9D2680"/>
    <w:pPr>
      <w:spacing w:before="120" w:after="120" w:line="276" w:lineRule="auto"/>
      <w:ind w:firstLine="284"/>
      <w:jc w:val="both"/>
    </w:pPr>
    <w:rPr>
      <w:rFonts w:eastAsia="Calibri" w:cs="Times New Roman,Italic"/>
      <w:sz w:val="24"/>
      <w:szCs w:val="24"/>
    </w:rPr>
  </w:style>
  <w:style w:type="paragraph" w:styleId="Nadpis2">
    <w:name w:val="heading 2"/>
    <w:basedOn w:val="Normln"/>
    <w:next w:val="Normln"/>
    <w:link w:val="Nadpis2Char"/>
    <w:uiPriority w:val="9"/>
    <w:unhideWhenUsed/>
    <w:qFormat/>
    <w:rsid w:val="009D2680"/>
    <w:pPr>
      <w:keepNext/>
      <w:keepLines/>
      <w:pBdr>
        <w:top w:val="single" w:sz="4" w:space="3" w:color="ACB9CA" w:themeColor="text2" w:themeTint="66"/>
      </w:pBdr>
      <w:shd w:val="clear" w:color="auto" w:fill="9CC2E5" w:themeFill="accent1" w:themeFillTint="99"/>
      <w:spacing w:before="240" w:after="240"/>
      <w:ind w:firstLine="0"/>
      <w:outlineLvl w:val="1"/>
    </w:pPr>
    <w:rPr>
      <w:rFonts w:ascii="Cambria" w:eastAsia="Times New Roman"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D2680"/>
    <w:rPr>
      <w:rFonts w:ascii="Cambria" w:eastAsia="Times New Roman" w:hAnsi="Cambria" w:cs="Times New Roman"/>
      <w:b/>
      <w:bCs/>
      <w:sz w:val="26"/>
      <w:szCs w:val="26"/>
      <w:shd w:val="clear" w:color="auto" w:fill="9CC2E5" w:themeFill="accent1" w:themeFillTint="99"/>
    </w:rPr>
  </w:style>
  <w:style w:type="paragraph" w:styleId="Bezmezer">
    <w:name w:val="No Spacing"/>
    <w:aliases w:val="Normální 2"/>
    <w:uiPriority w:val="1"/>
    <w:qFormat/>
    <w:rsid w:val="009D2680"/>
    <w:pPr>
      <w:spacing w:before="120" w:after="120" w:line="276" w:lineRule="auto"/>
      <w:jc w:val="both"/>
    </w:pPr>
    <w:rPr>
      <w:rFonts w:eastAsia="Calibri" w:cs="Times New Roman,Italic"/>
      <w:sz w:val="24"/>
      <w:szCs w:val="24"/>
    </w:rPr>
  </w:style>
  <w:style w:type="paragraph" w:styleId="Odstavecseseznamem">
    <w:name w:val="List Paragraph"/>
    <w:basedOn w:val="Normln"/>
    <w:uiPriority w:val="34"/>
    <w:qFormat/>
    <w:rsid w:val="009D2680"/>
    <w:pPr>
      <w:ind w:left="720"/>
      <w:contextualSpacing/>
    </w:pPr>
  </w:style>
  <w:style w:type="table" w:customStyle="1" w:styleId="Svtltabulkasmkou1zvraznn11">
    <w:name w:val="Světlá tabulka s mřížkou 1 – zvýraznění 11"/>
    <w:basedOn w:val="Normlntabulka"/>
    <w:uiPriority w:val="46"/>
    <w:rsid w:val="009D2680"/>
    <w:pPr>
      <w:spacing w:after="0" w:line="240" w:lineRule="auto"/>
    </w:pPr>
    <w:rPr>
      <w:rFonts w:ascii="Times New Roman" w:eastAsia="Calibri" w:hAnsi="Times New Roman" w:cs="Times New Roman,Italic"/>
      <w:sz w:val="20"/>
      <w:szCs w:val="20"/>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ulkasmkou3zvraznn11">
    <w:name w:val="Tabulka s mřížkou 3 – zvýraznění 11"/>
    <w:basedOn w:val="Normlntabulka"/>
    <w:uiPriority w:val="48"/>
    <w:rsid w:val="009D2680"/>
    <w:pPr>
      <w:spacing w:after="0" w:line="240" w:lineRule="auto"/>
    </w:pPr>
    <w:rPr>
      <w:rFonts w:ascii="Times New Roman" w:eastAsia="Calibri" w:hAnsi="Times New Roman" w:cs="Times New Roman,Italic"/>
      <w:sz w:val="20"/>
      <w:szCs w:val="20"/>
      <w:lang w:eastAsia="cs-C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Odkaznakoment">
    <w:name w:val="annotation reference"/>
    <w:basedOn w:val="Standardnpsmoodstavce"/>
    <w:uiPriority w:val="99"/>
    <w:semiHidden/>
    <w:unhideWhenUsed/>
    <w:rsid w:val="004364CA"/>
    <w:rPr>
      <w:sz w:val="16"/>
      <w:szCs w:val="16"/>
    </w:rPr>
  </w:style>
  <w:style w:type="paragraph" w:styleId="Textkomente">
    <w:name w:val="annotation text"/>
    <w:basedOn w:val="Normln"/>
    <w:link w:val="TextkomenteChar"/>
    <w:uiPriority w:val="99"/>
    <w:semiHidden/>
    <w:unhideWhenUsed/>
    <w:rsid w:val="004364CA"/>
    <w:pPr>
      <w:spacing w:line="240" w:lineRule="auto"/>
    </w:pPr>
    <w:rPr>
      <w:sz w:val="20"/>
      <w:szCs w:val="20"/>
    </w:rPr>
  </w:style>
  <w:style w:type="character" w:customStyle="1" w:styleId="TextkomenteChar">
    <w:name w:val="Text komentáře Char"/>
    <w:basedOn w:val="Standardnpsmoodstavce"/>
    <w:link w:val="Textkomente"/>
    <w:uiPriority w:val="99"/>
    <w:semiHidden/>
    <w:rsid w:val="004364CA"/>
    <w:rPr>
      <w:rFonts w:eastAsia="Calibri" w:cs="Times New Roman,Italic"/>
      <w:sz w:val="20"/>
      <w:szCs w:val="20"/>
    </w:rPr>
  </w:style>
  <w:style w:type="paragraph" w:styleId="Pedmtkomente">
    <w:name w:val="annotation subject"/>
    <w:basedOn w:val="Textkomente"/>
    <w:next w:val="Textkomente"/>
    <w:link w:val="PedmtkomenteChar"/>
    <w:uiPriority w:val="99"/>
    <w:semiHidden/>
    <w:unhideWhenUsed/>
    <w:rsid w:val="004364CA"/>
    <w:rPr>
      <w:b/>
      <w:bCs/>
    </w:rPr>
  </w:style>
  <w:style w:type="character" w:customStyle="1" w:styleId="PedmtkomenteChar">
    <w:name w:val="Předmět komentáře Char"/>
    <w:basedOn w:val="TextkomenteChar"/>
    <w:link w:val="Pedmtkomente"/>
    <w:uiPriority w:val="99"/>
    <w:semiHidden/>
    <w:rsid w:val="004364CA"/>
    <w:rPr>
      <w:rFonts w:eastAsia="Calibri" w:cs="Times New Roman,Italic"/>
      <w:b/>
      <w:bCs/>
      <w:sz w:val="20"/>
      <w:szCs w:val="20"/>
    </w:rPr>
  </w:style>
  <w:style w:type="paragraph" w:styleId="Textbubliny">
    <w:name w:val="Balloon Text"/>
    <w:basedOn w:val="Normln"/>
    <w:link w:val="TextbublinyChar"/>
    <w:uiPriority w:val="99"/>
    <w:semiHidden/>
    <w:unhideWhenUsed/>
    <w:rsid w:val="004364CA"/>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64CA"/>
    <w:rPr>
      <w:rFonts w:ascii="Segoe UI" w:eastAsia="Calibri" w:hAnsi="Segoe UI" w:cs="Segoe UI"/>
      <w:sz w:val="18"/>
      <w:szCs w:val="18"/>
    </w:rPr>
  </w:style>
  <w:style w:type="table" w:styleId="Svtlmkazvraznn6">
    <w:name w:val="Light Grid Accent 6"/>
    <w:basedOn w:val="Normlntabulka"/>
    <w:uiPriority w:val="62"/>
    <w:rsid w:val="0054206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Default">
    <w:name w:val="Default"/>
    <w:rsid w:val="0039201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semiHidden/>
    <w:unhideWhenUsed/>
    <w:rsid w:val="00A22347"/>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A22347"/>
    <w:rPr>
      <w:rFonts w:eastAsia="Calibri" w:cs="Times New Roman,Italic"/>
      <w:sz w:val="24"/>
      <w:szCs w:val="24"/>
    </w:rPr>
  </w:style>
  <w:style w:type="paragraph" w:styleId="Zpat">
    <w:name w:val="footer"/>
    <w:basedOn w:val="Normln"/>
    <w:link w:val="ZpatChar"/>
    <w:uiPriority w:val="99"/>
    <w:unhideWhenUsed/>
    <w:rsid w:val="00A2234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A22347"/>
    <w:rPr>
      <w:rFonts w:eastAsia="Calibri" w:cs="Times New Roman,Italic"/>
      <w:sz w:val="24"/>
      <w:szCs w:val="24"/>
    </w:rPr>
  </w:style>
  <w:style w:type="table" w:styleId="Mkatabulky">
    <w:name w:val="Table Grid"/>
    <w:basedOn w:val="Normlntabulka"/>
    <w:uiPriority w:val="59"/>
    <w:rsid w:val="0097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993828">
      <w:bodyDiv w:val="1"/>
      <w:marLeft w:val="0"/>
      <w:marRight w:val="0"/>
      <w:marTop w:val="0"/>
      <w:marBottom w:val="0"/>
      <w:divBdr>
        <w:top w:val="none" w:sz="0" w:space="0" w:color="auto"/>
        <w:left w:val="none" w:sz="0" w:space="0" w:color="auto"/>
        <w:bottom w:val="none" w:sz="0" w:space="0" w:color="auto"/>
        <w:right w:val="none" w:sz="0" w:space="0" w:color="auto"/>
      </w:divBdr>
    </w:div>
    <w:div w:id="2064333335">
      <w:bodyDiv w:val="1"/>
      <w:marLeft w:val="0"/>
      <w:marRight w:val="0"/>
      <w:marTop w:val="0"/>
      <w:marBottom w:val="0"/>
      <w:divBdr>
        <w:top w:val="none" w:sz="0" w:space="0" w:color="auto"/>
        <w:left w:val="none" w:sz="0" w:space="0" w:color="auto"/>
        <w:bottom w:val="none" w:sz="0" w:space="0" w:color="auto"/>
        <w:right w:val="none" w:sz="0" w:space="0" w:color="auto"/>
      </w:divBdr>
    </w:div>
    <w:div w:id="21031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A03F3-AEB5-436F-BAA9-95F4229F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5297</Words>
  <Characters>31254</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Feyfarova</dc:creator>
  <cp:lastModifiedBy>Edita</cp:lastModifiedBy>
  <cp:revision>2</cp:revision>
  <dcterms:created xsi:type="dcterms:W3CDTF">2017-03-24T10:39:00Z</dcterms:created>
  <dcterms:modified xsi:type="dcterms:W3CDTF">2017-03-24T10:39:00Z</dcterms:modified>
</cp:coreProperties>
</file>